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62BB9">
      <w:pPr>
        <w:widowControl/>
        <w:adjustRightInd/>
        <w:snapToGrid/>
        <w:spacing w:before="326" w:beforeLines="100" w:after="326" w:afterLines="100" w:line="240" w:lineRule="auto"/>
        <w:ind w:firstLine="0" w:firstLineChars="0"/>
        <w:jc w:val="center"/>
        <w:rPr>
          <w:rFonts w:hint="eastAsia"/>
          <w:b/>
          <w:color w:val="000000" w:themeColor="text1"/>
          <w:sz w:val="32"/>
          <w14:textFill>
            <w14:solidFill>
              <w14:schemeClr w14:val="tx1"/>
            </w14:solidFill>
          </w14:textFill>
        </w:rPr>
      </w:pPr>
      <w:bookmarkStart w:id="26" w:name="_GoBack"/>
      <w:bookmarkEnd w:id="26"/>
      <w:r>
        <w:rPr>
          <w:rFonts w:hint="eastAsia"/>
          <w:b/>
          <w:color w:val="000000" w:themeColor="text1"/>
          <w:sz w:val="32"/>
          <w14:textFill>
            <w14:solidFill>
              <w14:schemeClr w14:val="tx1"/>
            </w14:solidFill>
          </w14:textFill>
        </w:rPr>
        <w:t>“倒T型”税源结构下现代农业集群税收服务转型研究</w:t>
      </w:r>
    </w:p>
    <w:p w14:paraId="60666DD5">
      <w:pPr>
        <w:ind w:firstLine="482"/>
        <w:rPr>
          <w:rFonts w:hint="eastAsia" w:cs="Segoe UI" w:asciiTheme="minorEastAsia" w:hAnsiTheme="minorEastAsia" w:eastAsiaTheme="minorEastAsia"/>
          <w:color w:val="000000" w:themeColor="text1"/>
          <w:szCs w:val="24"/>
          <w:shd w:val="clear" w:color="auto" w:fill="FFFFFF"/>
          <w14:textFill>
            <w14:solidFill>
              <w14:schemeClr w14:val="tx1"/>
            </w14:solidFill>
          </w14:textFill>
        </w:rPr>
      </w:pPr>
      <w:r>
        <w:rPr>
          <w:rStyle w:val="14"/>
          <w:rFonts w:cs="Segoe UI"/>
          <w:color w:val="000000" w:themeColor="text1"/>
          <w:szCs w:val="24"/>
          <w:shd w:val="clear" w:color="auto" w:fill="FFFFFF"/>
          <w14:textFill>
            <w14:solidFill>
              <w14:schemeClr w14:val="tx1"/>
            </w14:solidFill>
          </w14:textFill>
        </w:rPr>
        <w:t>内容概述：</w:t>
      </w:r>
      <w:r>
        <w:rPr>
          <w:rFonts w:hint="eastAsia" w:cs="Segoe UI"/>
          <w:color w:val="000000" w:themeColor="text1"/>
          <w:szCs w:val="24"/>
          <w:shd w:val="clear" w:color="auto" w:fill="FFFFFF"/>
          <w14:textFill>
            <w14:solidFill>
              <w14:schemeClr w14:val="tx1"/>
            </w14:solidFill>
          </w14:textFill>
        </w:rPr>
        <w:t>云浮市现代农业集群呈现“高产值、低税收”的结构性矛盾。2024年17个产业园创造521.98亿元产值，税收仅7.75亿元，转化率低至1.48%。核心症结在于税源结构呈“倒T型”：龙头企业盈利堪忧、中坚力量缺失、小微主体贡献有限。研究基于“粤商千企大调研”实地走访与数据分析，借鉴国内外先进经验，提出构建“点-线-面”协同的税源培育与服务体系，推动税收服务向精准化滴灌、质量化导向、产业化协同三维转型，为破解农业现代化与地方财政协调发展难题提供云浮方案。</w:t>
      </w:r>
    </w:p>
    <w:p w14:paraId="655796CD">
      <w:pPr>
        <w:pStyle w:val="2"/>
        <w:rPr>
          <w:rFonts w:asciiTheme="majorEastAsia" w:hAnsiTheme="majorEastAsia" w:eastAsiaTheme="majorEastAsia"/>
        </w:rPr>
      </w:pPr>
      <w:bookmarkStart w:id="0" w:name="_Toc213346723"/>
      <w:r>
        <w:rPr>
          <w:rFonts w:asciiTheme="majorEastAsia" w:hAnsiTheme="majorEastAsia" w:eastAsiaTheme="majorEastAsia"/>
        </w:rPr>
        <w:t>一、问题背景与调研方法</w:t>
      </w:r>
      <w:bookmarkEnd w:id="0"/>
    </w:p>
    <w:p w14:paraId="5125B1A7">
      <w:pPr>
        <w:ind w:firstLine="48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云浮市地方一般公共预算收入2024年同比下降33.0%，税收收入降至29.01亿元，民生支出占比</w:t>
      </w:r>
      <w:r>
        <w:rPr>
          <w:rFonts w:hint="eastAsia" w:cs="宋体"/>
          <w:kern w:val="0"/>
          <w:szCs w:val="21"/>
        </w:rPr>
        <w:t>高达77.7%</w:t>
      </w:r>
      <w:r>
        <w:rPr>
          <w:rStyle w:val="16"/>
          <w:rFonts w:cs="宋体"/>
          <w:kern w:val="0"/>
          <w:szCs w:val="21"/>
        </w:rPr>
        <w:footnoteReference w:id="0"/>
      </w:r>
      <w:r>
        <w:rPr>
          <w:rFonts w:hint="eastAsia"/>
          <w:color w:val="000000" w:themeColor="text1"/>
          <w:szCs w:val="24"/>
          <w14:textFill>
            <w14:solidFill>
              <w14:schemeClr w14:val="tx1"/>
            </w14:solidFill>
          </w14:textFill>
        </w:rPr>
        <w:t>，培育稳定税源已迫在眉睫。作为三大千亿集群之一的现代农业，2024年总产值842.9亿元，预计2025年将突破千亿大关，却陷“大产值、小税收”困境。17个国家级和省级现代农业产业园创造521.98亿元产值，却仅贡献税收</w:t>
      </w:r>
      <w:r>
        <w:rPr>
          <w:rFonts w:hint="eastAsia" w:cs="宋体"/>
          <w:kern w:val="0"/>
          <w:szCs w:val="21"/>
        </w:rPr>
        <w:t>7.75亿元</w:t>
      </w:r>
      <w:r>
        <w:rPr>
          <w:rStyle w:val="16"/>
          <w:rFonts w:cs="宋体"/>
          <w:kern w:val="0"/>
          <w:szCs w:val="21"/>
        </w:rPr>
        <w:footnoteReference w:id="1"/>
      </w:r>
      <w:r>
        <w:rPr>
          <w:rFonts w:hint="eastAsia"/>
          <w:color w:val="000000" w:themeColor="text1"/>
          <w:szCs w:val="24"/>
          <w14:textFill>
            <w14:solidFill>
              <w14:schemeClr w14:val="tx1"/>
            </w14:solidFill>
          </w14:textFill>
        </w:rPr>
        <w:t>，产值税收转化率仅1.48%，远低于工业及服务业平均水平。云浮市分别有4个和11个产业集群被纳入广东省重点培育的百亿元级和十亿元级集群名录，标志着农业集群发展已从地方实践上升为</w:t>
      </w:r>
      <w:r>
        <w:rPr>
          <w:rFonts w:hint="eastAsia" w:cs="宋体"/>
          <w:kern w:val="0"/>
          <w:szCs w:val="21"/>
        </w:rPr>
        <w:t>省级战略</w:t>
      </w:r>
      <w:r>
        <w:rPr>
          <w:rStyle w:val="16"/>
          <w:rFonts w:cs="宋体"/>
          <w:kern w:val="0"/>
          <w:szCs w:val="21"/>
        </w:rPr>
        <w:footnoteReference w:id="2"/>
      </w:r>
      <w:r>
        <w:rPr>
          <w:rFonts w:hint="eastAsia"/>
          <w:color w:val="000000" w:themeColor="text1"/>
          <w:szCs w:val="24"/>
          <w14:textFill>
            <w14:solidFill>
              <w14:schemeClr w14:val="tx1"/>
            </w14:solidFill>
          </w14:textFill>
        </w:rPr>
        <w:t>。在此背景下，如何破解税收结构性失衡，探索税收服务转型路径，成为亟待解决的现实课题。</w:t>
      </w:r>
    </w:p>
    <w:p w14:paraId="33E28BDA">
      <w:pPr>
        <w:ind w:firstLine="480"/>
        <w:rPr>
          <w:rFonts w:hint="eastAsia" w:cs="宋体"/>
          <w:kern w:val="0"/>
          <w:szCs w:val="21"/>
        </w:rPr>
      </w:pPr>
      <w:r>
        <w:rPr>
          <w:rFonts w:hint="eastAsia" w:cs="宋体"/>
          <w:kern w:val="0"/>
          <w:szCs w:val="21"/>
        </w:rPr>
        <w:t>课题组于2025年7月开展“粤商千企大调研”云浮专项行动，实地走访市税务局、农业农村局及多家产业园主体企业（有实地调研）</w:t>
      </w:r>
      <w:r>
        <w:rPr>
          <w:rStyle w:val="16"/>
          <w:rFonts w:cs="宋体"/>
          <w:kern w:val="0"/>
          <w:szCs w:val="21"/>
        </w:rPr>
        <w:footnoteReference w:id="3"/>
      </w:r>
      <w:r>
        <w:rPr>
          <w:rFonts w:hint="eastAsia" w:cs="宋体"/>
          <w:kern w:val="0"/>
          <w:szCs w:val="21"/>
        </w:rPr>
        <w:t>，获取并交叉核验了一手数据（有数据分析）。研究还系统借鉴了茂名、寿光等省内外农业强市案例，以及荷兰、日本等地的国际经验（有经验借鉴），在此基础上提出符合云浮实际的差异化决策建议（有本地建议）。</w:t>
      </w:r>
    </w:p>
    <w:p w14:paraId="7C55893E">
      <w:pPr>
        <w:pStyle w:val="2"/>
        <w:rPr>
          <w:rFonts w:hint="eastAsia"/>
        </w:rPr>
      </w:pPr>
      <w:bookmarkStart w:id="1" w:name="_Toc213346724"/>
      <w:r>
        <w:rPr>
          <w:rFonts w:hint="eastAsia"/>
        </w:rPr>
        <w:t>二、云浮现代农业集群税收现状与结构性矛盾</w:t>
      </w:r>
      <w:bookmarkEnd w:id="1"/>
    </w:p>
    <w:p w14:paraId="44377F74">
      <w:pPr>
        <w:pStyle w:val="3"/>
        <w:rPr>
          <w:rFonts w:hint="eastAsia"/>
        </w:rPr>
      </w:pPr>
      <w:bookmarkStart w:id="2" w:name="_Toc213346725"/>
      <w:r>
        <w:rPr>
          <w:rFonts w:hint="eastAsia"/>
        </w:rPr>
        <w:t>（一）产业发展基本情况</w:t>
      </w:r>
      <w:bookmarkEnd w:id="2"/>
    </w:p>
    <w:p w14:paraId="2DF662D7">
      <w:pPr>
        <w:widowControl/>
        <w:ind w:firstLine="480"/>
        <w:rPr>
          <w:rFonts w:cs="宋体"/>
          <w:kern w:val="0"/>
          <w:szCs w:val="21"/>
        </w:rPr>
      </w:pPr>
      <w:r>
        <w:rPr>
          <w:rFonts w:hint="eastAsia" w:cs="宋体"/>
          <w:kern w:val="0"/>
          <w:szCs w:val="21"/>
        </w:rPr>
        <w:t>截至2025年7月，全市建成和在建国家级、省级产业园17个，形成以畜禽（9个）、南药（2个）、丝苗米（2个）、花卉（2个）、肉桂和无核黄皮各1个为主导的产业格局。空间上呈现出清晰的县域集群化布局：云城区聚焦南药与花卉（3个），云安区主打花卉和畜禽（4个），新兴县以畜禽和丝苗米为主（5个），罗定市涵盖肉桂、丝苗米与畜禽（4个），郁南县专注无核黄皮（1个），形成“一县一特色”发展格局</w:t>
      </w:r>
      <w:r>
        <w:rPr>
          <w:rStyle w:val="16"/>
          <w:rFonts w:cs="宋体"/>
          <w:kern w:val="0"/>
          <w:szCs w:val="21"/>
        </w:rPr>
        <w:footnoteReference w:id="4"/>
      </w:r>
      <w:r>
        <w:rPr>
          <w:rFonts w:hint="eastAsia" w:cs="宋体"/>
          <w:kern w:val="0"/>
          <w:szCs w:val="21"/>
        </w:rPr>
        <w:t>。</w:t>
      </w:r>
    </w:p>
    <w:p w14:paraId="08919375">
      <w:pPr>
        <w:ind w:firstLine="480"/>
        <w:rPr>
          <w:rFonts w:hint="eastAsia"/>
          <w:color w:val="000000" w:themeColor="text1"/>
          <w:szCs w:val="24"/>
          <w14:textFill>
            <w14:solidFill>
              <w14:schemeClr w14:val="tx1"/>
            </w14:solidFill>
          </w14:textFill>
        </w:rPr>
      </w:pPr>
      <w:r>
        <w:rPr>
          <w:rFonts w:hint="eastAsia" w:cs="宋体"/>
          <w:kern w:val="0"/>
          <w:szCs w:val="21"/>
        </w:rPr>
        <w:t>2024年全市现代农业产业集群总体规模增至842.9亿元</w:t>
      </w:r>
      <w:r>
        <w:rPr>
          <w:rStyle w:val="16"/>
          <w:rFonts w:cs="宋体"/>
          <w:kern w:val="0"/>
          <w:szCs w:val="21"/>
        </w:rPr>
        <w:footnoteReference w:id="5"/>
      </w:r>
      <w:r>
        <w:rPr>
          <w:rFonts w:hint="eastAsia" w:cs="宋体"/>
          <w:kern w:val="0"/>
          <w:szCs w:val="21"/>
        </w:rPr>
        <w:t>。10.18亿元上级扶持资金撬动68.76亿元总投资，投资完成率达101.3%。项目覆盖全市70%的镇街，带动19.15万户农户户均增收2.13万元，培育了温氏、衍生等知名品牌共248个</w:t>
      </w:r>
      <w:r>
        <w:rPr>
          <w:rStyle w:val="16"/>
          <w:rFonts w:cs="宋体"/>
          <w:kern w:val="0"/>
          <w:szCs w:val="21"/>
        </w:rPr>
        <w:footnoteReference w:id="6"/>
      </w:r>
      <w:r>
        <w:rPr>
          <w:rFonts w:hint="eastAsia" w:cs="宋体"/>
          <w:kern w:val="0"/>
          <w:szCs w:val="21"/>
        </w:rPr>
        <w:t>。</w:t>
      </w:r>
    </w:p>
    <w:p w14:paraId="4F00D64E">
      <w:pPr>
        <w:pStyle w:val="3"/>
        <w:rPr>
          <w:rFonts w:hint="eastAsia"/>
        </w:rPr>
      </w:pPr>
      <w:bookmarkStart w:id="3" w:name="_Toc213346726"/>
      <w:r>
        <w:rPr>
          <w:rFonts w:hint="eastAsia"/>
        </w:rPr>
        <w:t>（二）“倒T型”税源结构的深度剖析</w:t>
      </w:r>
      <w:bookmarkEnd w:id="3"/>
    </w:p>
    <w:p w14:paraId="7BA37158">
      <w:pPr>
        <w:widowControl/>
        <w:ind w:firstLine="480"/>
        <w:rPr>
          <w:rFonts w:cs="宋体"/>
          <w:kern w:val="0"/>
          <w:szCs w:val="21"/>
        </w:rPr>
      </w:pPr>
      <w:r>
        <w:rPr>
          <w:rFonts w:hint="eastAsia" w:cs="宋体"/>
          <w:kern w:val="0"/>
          <w:szCs w:val="21"/>
        </w:rPr>
        <w:t>云浮市现代农业集群的税收特征集中体现为“高产值、低税收”的结构性失衡。这一矛盾不仅反映在宏观的产值税收转化率上，更深植于其脆弱的“倒T型”税源结构之中</w:t>
      </w:r>
      <w:r>
        <w:rPr>
          <w:rStyle w:val="16"/>
          <w:rFonts w:cs="宋体"/>
          <w:kern w:val="0"/>
          <w:szCs w:val="21"/>
        </w:rPr>
        <w:footnoteReference w:id="7"/>
      </w:r>
      <w:r>
        <w:rPr>
          <w:rFonts w:hint="eastAsia" w:cs="宋体"/>
          <w:kern w:val="0"/>
          <w:szCs w:val="21"/>
        </w:rPr>
        <w:t>。</w:t>
      </w:r>
    </w:p>
    <w:p w14:paraId="0328E4D1">
      <w:pPr>
        <w:ind w:firstLine="482"/>
        <w:rPr>
          <w:rFonts w:hint="eastAsia"/>
          <w:b/>
        </w:rPr>
      </w:pPr>
      <w:r>
        <w:rPr>
          <w:rFonts w:hint="eastAsia"/>
          <w:b/>
        </w:rPr>
        <w:t>其一，“尖顶部”依赖与盈利困境。</w:t>
      </w:r>
      <w:r>
        <w:rPr>
          <w:rFonts w:hint="eastAsia"/>
        </w:rPr>
        <w:t>2023年全市506家龙头企业实现1056.33亿元销售收入，上缴税金7.18亿元，但整体净利润却为-65.08亿元</w:t>
      </w:r>
      <w:r>
        <w:rPr>
          <w:rStyle w:val="16"/>
        </w:rPr>
        <w:footnoteReference w:id="8"/>
      </w:r>
      <w:r>
        <w:rPr>
          <w:rFonts w:hint="eastAsia"/>
        </w:rPr>
        <w:t>。这种“增收不增利”的困境，从某种意义上来说，从根本上侵蚀了长期税源根基。</w:t>
      </w:r>
    </w:p>
    <w:p w14:paraId="13194D62">
      <w:pPr>
        <w:ind w:firstLine="482"/>
        <w:rPr>
          <w:rFonts w:hint="eastAsia"/>
          <w:b/>
        </w:rPr>
      </w:pPr>
      <w:r>
        <w:rPr>
          <w:rFonts w:hint="eastAsia"/>
          <w:b/>
        </w:rPr>
        <w:t>其二，“细腰部”缺失与结构断层。</w:t>
      </w:r>
      <w:r>
        <w:rPr>
          <w:rFonts w:hint="eastAsia"/>
        </w:rPr>
        <w:t>在4198个产业化组织中，纳税主力高度集中于19家头部企业与506家龙头企业，纳税规模在百万至千万级的“腰部”中坚力量严重不足，税源梯队难以形成有效接力。</w:t>
      </w:r>
    </w:p>
    <w:p w14:paraId="361E2641">
      <w:pPr>
        <w:ind w:firstLine="482"/>
        <w:rPr>
          <w:rFonts w:hint="eastAsia"/>
          <w:b/>
        </w:rPr>
      </w:pPr>
      <w:r>
        <w:rPr>
          <w:rFonts w:hint="eastAsia"/>
          <w:b/>
        </w:rPr>
        <w:t>其三，“宽基座”低效与贡献天花板。</w:t>
      </w:r>
      <w:r>
        <w:rPr>
          <w:rFonts w:hint="eastAsia"/>
        </w:rPr>
        <w:t>45%产业化组织属免税小微主体，加之未纳入统计的个体农户，</w:t>
      </w:r>
      <w:r>
        <w:rPr>
          <w:rFonts w:ascii="Segoe UI" w:hAnsi="Segoe UI" w:cs="Segoe UI"/>
          <w:color w:val="0F1115"/>
          <w:shd w:val="clear" w:color="auto" w:fill="FFFFFF"/>
        </w:rPr>
        <w:t>形成规模庞大却税收产出微弱的基座。</w:t>
      </w:r>
    </w:p>
    <w:p w14:paraId="5F134DEC">
      <w:pPr>
        <w:ind w:firstLine="480"/>
        <w:rPr>
          <w:rFonts w:hint="eastAsia"/>
        </w:rPr>
      </w:pPr>
      <w:r>
        <w:rPr>
          <w:rFonts w:hint="eastAsia"/>
        </w:rPr>
        <w:t>调研数据进一步印证了这一结构特征：云浮市现代农业税收呈现“普惠性低税负”与“结构性集中”的鲜明特征。从税源结构看：税种以增值税、企业所得税为主体，并受覆盖全链条的74项税费优惠政策支持；产业环节因自产农产品免税政策，税收贡献高度集中于加工环节；地域分布则与地方特色产业紧密绑定。总体而言，在普惠性与专项优惠政策的叠加下，集群内企业实际税负普遍较低，税收政策与产业发展形成了深度互动。</w:t>
      </w:r>
    </w:p>
    <w:p w14:paraId="440CB406">
      <w:pPr>
        <w:pStyle w:val="3"/>
        <w:rPr>
          <w:rFonts w:hint="eastAsia"/>
        </w:rPr>
      </w:pPr>
      <w:bookmarkStart w:id="4" w:name="_Toc213346727"/>
      <w:r>
        <w:rPr>
          <w:rFonts w:hint="eastAsia"/>
        </w:rPr>
        <w:t>（三）制约税源培育的三大深层短板</w:t>
      </w:r>
      <w:bookmarkEnd w:id="4"/>
    </w:p>
    <w:p w14:paraId="6C07AA4C">
      <w:pPr>
        <w:ind w:firstLine="482"/>
        <w:rPr>
          <w:rFonts w:hint="eastAsia"/>
        </w:rPr>
      </w:pPr>
      <w:r>
        <w:rPr>
          <w:rFonts w:hint="eastAsia"/>
          <w:b/>
        </w:rPr>
        <w:t>其一，产业“集”而不“群”，同质化竞争突出。</w:t>
      </w:r>
      <w:r>
        <w:rPr>
          <w:rFonts w:hint="eastAsia" w:cs="宋体"/>
          <w:kern w:val="0"/>
          <w:szCs w:val="21"/>
        </w:rPr>
        <w:t>17个产业园中有3个均以生猪为主导产业，这不免导致政策、资金与市场资源分散配置，难以形成省级政策所倡导的“跨县集群”效应与协同竞争力。</w:t>
      </w:r>
    </w:p>
    <w:p w14:paraId="5EC74F28">
      <w:pPr>
        <w:ind w:firstLine="482"/>
        <w:rPr>
          <w:rFonts w:hint="eastAsia"/>
        </w:rPr>
      </w:pPr>
      <w:r>
        <w:rPr>
          <w:rFonts w:hint="eastAsia"/>
          <w:b/>
        </w:rPr>
        <w:t>其二，功能性平台缺位，价值链攀升受阻。</w:t>
      </w:r>
      <w:r>
        <w:rPr>
          <w:rFonts w:hint="eastAsia" w:cs="宋体"/>
          <w:kern w:val="0"/>
          <w:szCs w:val="21"/>
        </w:rPr>
        <w:t>科技研发、冷链物流、数字农业等专业化功能平台建设滞后，这种情况下，精深加工、科技赋能与高效流通等高附加值环节薄弱，使云浮市农业长期滞留在“原料输出地”角色，利润空间与潜在税源外流。</w:t>
      </w:r>
    </w:p>
    <w:p w14:paraId="7DFF7ADF">
      <w:pPr>
        <w:ind w:firstLine="482"/>
        <w:rPr>
          <w:rFonts w:hint="eastAsia"/>
        </w:rPr>
      </w:pPr>
      <w:r>
        <w:rPr>
          <w:rFonts w:hint="eastAsia"/>
          <w:b/>
        </w:rPr>
        <w:t>其三，</w:t>
      </w:r>
      <w:r>
        <w:rPr>
          <w:rFonts w:hint="eastAsia" w:cs="宋体"/>
          <w:b/>
          <w:kern w:val="0"/>
          <w:szCs w:val="21"/>
        </w:rPr>
        <w:t>可持续发展机制不健全，园区持续运营能力存忧。</w:t>
      </w:r>
      <w:r>
        <w:rPr>
          <w:rFonts w:hint="eastAsia" w:cs="宋体"/>
          <w:kern w:val="0"/>
          <w:szCs w:val="21"/>
        </w:rPr>
        <w:t>新兴县茶叶产业园、郁南县无核黄皮产业园因中期评估未通过而被摘牌，云安区肉牛产业园亦被评定为“暂不通过”，这些情况在某种程度上直接影响了产业韧性与税源的稳定培育。</w:t>
      </w:r>
    </w:p>
    <w:p w14:paraId="3D17BB22">
      <w:pPr>
        <w:pStyle w:val="2"/>
        <w:rPr>
          <w:rFonts w:hint="eastAsia"/>
        </w:rPr>
      </w:pPr>
      <w:bookmarkStart w:id="5" w:name="_Toc213346728"/>
      <w:r>
        <w:rPr>
          <w:rFonts w:hint="eastAsia"/>
        </w:rPr>
        <w:t>三、税收服务的现状诊断与转型必然性</w:t>
      </w:r>
      <w:bookmarkEnd w:id="5"/>
    </w:p>
    <w:p w14:paraId="515092C2">
      <w:pPr>
        <w:pStyle w:val="3"/>
        <w:rPr>
          <w:rFonts w:hint="eastAsia"/>
        </w:rPr>
      </w:pPr>
      <w:bookmarkStart w:id="6" w:name="_Toc213346729"/>
      <w:r>
        <w:rPr>
          <w:rFonts w:hint="eastAsia"/>
        </w:rPr>
        <w:t>（一）服务现状：数字化底座坚实，精准化转型初显</w:t>
      </w:r>
      <w:bookmarkEnd w:id="6"/>
    </w:p>
    <w:p w14:paraId="3C8B0DA9">
      <w:pPr>
        <w:ind w:firstLine="482"/>
        <w:rPr>
          <w:rFonts w:hint="eastAsia"/>
        </w:rPr>
      </w:pPr>
      <w:r>
        <w:rPr>
          <w:rFonts w:hint="eastAsia"/>
          <w:b/>
        </w:rPr>
        <w:t>云浮税务部门在优化营商环境方面取得显著成效。</w:t>
      </w:r>
      <w:r>
        <w:rPr>
          <w:rFonts w:hint="eastAsia" w:cs="宋体"/>
          <w:kern w:val="0"/>
          <w:szCs w:val="21"/>
        </w:rPr>
        <w:t>“纳税”指标排名从2023年的全省第7位进一步提升至2024年的第5位，连续三年跻身全省前十，与省内其他农业强市相比，优于湛江（第8位）和茂名（第12位），与清远（第6位）基本持平，并在粤东西北地区保持领先地位</w:t>
      </w:r>
      <w:r>
        <w:rPr>
          <w:rStyle w:val="16"/>
          <w:rFonts w:cs="宋体"/>
          <w:kern w:val="0"/>
          <w:szCs w:val="21"/>
        </w:rPr>
        <w:footnoteReference w:id="9"/>
      </w:r>
      <w:r>
        <w:rPr>
          <w:rFonts w:hint="eastAsia" w:cs="宋体"/>
          <w:kern w:val="0"/>
          <w:szCs w:val="21"/>
        </w:rPr>
        <w:t>。</w:t>
      </w:r>
    </w:p>
    <w:p w14:paraId="22B202B5">
      <w:pPr>
        <w:widowControl/>
        <w:ind w:firstLine="482"/>
        <w:rPr>
          <w:rFonts w:cs="宋体"/>
          <w:kern w:val="0"/>
          <w:szCs w:val="21"/>
        </w:rPr>
      </w:pPr>
      <w:r>
        <w:rPr>
          <w:rFonts w:hint="eastAsia" w:cs="宋体"/>
          <w:b/>
          <w:kern w:val="0"/>
          <w:szCs w:val="21"/>
        </w:rPr>
        <w:t>数字化服务能力实现跨越式提升。</w:t>
      </w:r>
      <w:r>
        <w:rPr>
          <w:rFonts w:hint="eastAsia" w:cs="宋体"/>
          <w:kern w:val="0"/>
          <w:szCs w:val="21"/>
        </w:rPr>
        <w:t>“非接触式”办税率从2023年的超96%提升至2024年的99.23%，显著高于茂名的96%和湛江的97.5%；全年通过电子税务局办理业务157.18万笔，提供远程可视化办税服务9.69万人次；依申请事项市级集约处理率也从79%提升至91%，这些数据标志着智慧税务建设迈上新台阶。</w:t>
      </w:r>
    </w:p>
    <w:p w14:paraId="3128A758">
      <w:pPr>
        <w:ind w:firstLine="482"/>
        <w:rPr>
          <w:rFonts w:hint="eastAsia"/>
        </w:rPr>
      </w:pPr>
      <w:r>
        <w:rPr>
          <w:rFonts w:hint="eastAsia"/>
          <w:b/>
        </w:rPr>
        <w:t>服务覆盖面不断扩大。</w:t>
      </w:r>
      <w:r>
        <w:rPr>
          <w:rFonts w:hint="eastAsia" w:cs="宋体"/>
          <w:kern w:val="0"/>
          <w:szCs w:val="21"/>
        </w:rPr>
        <w:t>编写了《现代农业行业税费服务手册》等专业指引，2024年精准推送各类税费优惠政策和服务提醒信息39.04万条次，提供专项税费咨询逾200次。“银税互动”</w:t>
      </w:r>
      <w:r>
        <w:rPr>
          <w:rFonts w:hint="eastAsia"/>
        </w:rPr>
        <w:t>为572户次纳税人投放贷款8.3亿元，单户平均额度大幅提升，显示资源正向重点主体集中。</w:t>
      </w:r>
    </w:p>
    <w:p w14:paraId="6EA3CFB2">
      <w:pPr>
        <w:ind w:firstLine="482"/>
        <w:rPr>
          <w:rFonts w:hint="eastAsia"/>
        </w:rPr>
      </w:pPr>
      <w:r>
        <w:rPr>
          <w:rFonts w:hint="eastAsia"/>
          <w:b/>
        </w:rPr>
        <w:t>基层服务创新成效显现。</w:t>
      </w:r>
      <w:r>
        <w:rPr>
          <w:rFonts w:hint="eastAsia" w:cs="宋体"/>
          <w:kern w:val="0"/>
          <w:szCs w:val="21"/>
        </w:rPr>
        <w:t>创新设立了“税务云驿站”，依托全市21个党群服务中心，累计服务超4万人次，办理业务超6万笔，有效打通了税费服务下沉基层的“最后一公里”。</w:t>
      </w:r>
    </w:p>
    <w:p w14:paraId="77999048">
      <w:pPr>
        <w:pStyle w:val="3"/>
        <w:rPr>
          <w:rFonts w:hint="eastAsia"/>
        </w:rPr>
      </w:pPr>
      <w:bookmarkStart w:id="7" w:name="_Toc213346730"/>
      <w:r>
        <w:rPr>
          <w:rFonts w:hint="eastAsia"/>
        </w:rPr>
        <w:t>（二）核心症结：“倒T型”税源结构下的服务三重矛盾</w:t>
      </w:r>
      <w:bookmarkEnd w:id="7"/>
    </w:p>
    <w:p w14:paraId="37F0EDE6">
      <w:pPr>
        <w:widowControl/>
        <w:ind w:firstLine="480"/>
        <w:rPr>
          <w:rFonts w:cs="宋体"/>
          <w:kern w:val="0"/>
          <w:szCs w:val="21"/>
        </w:rPr>
      </w:pPr>
      <w:r>
        <w:rPr>
          <w:rFonts w:hint="eastAsia" w:cs="宋体"/>
          <w:kern w:val="0"/>
          <w:szCs w:val="21"/>
        </w:rPr>
        <w:t>云浮税收服务面临的挑战，根源在于其“倒T型”税源结构以及由此引发的征管资源、服务精度和产业赋能三个层面的系统性矛盾。</w:t>
      </w:r>
    </w:p>
    <w:p w14:paraId="5EB17519">
      <w:pPr>
        <w:ind w:firstLine="482"/>
        <w:rPr>
          <w:rFonts w:hint="eastAsia"/>
        </w:rPr>
      </w:pPr>
      <w:r>
        <w:rPr>
          <w:rFonts w:hint="eastAsia"/>
          <w:b/>
        </w:rPr>
        <w:t>矛盾一：征管资源错配与主体培育的矛盾。</w:t>
      </w:r>
      <w:r>
        <w:rPr>
          <w:rFonts w:hint="eastAsia" w:cs="宋体"/>
          <w:kern w:val="0"/>
          <w:szCs w:val="21"/>
        </w:rPr>
        <w:t>超80%为纳税额极低的“基座”主体，导致资源大量消耗在基础服务上，对潜力“腰部”企业的培育精力不足。</w:t>
      </w:r>
    </w:p>
    <w:p w14:paraId="1F7036B0">
      <w:pPr>
        <w:ind w:firstLine="482"/>
        <w:rPr>
          <w:rFonts w:hint="eastAsia"/>
        </w:rPr>
      </w:pPr>
      <w:r>
        <w:rPr>
          <w:rFonts w:hint="eastAsia"/>
          <w:b/>
        </w:rPr>
        <w:t>矛盾二：服务精度不足与产业升级的矛盾。</w:t>
      </w:r>
      <w:r>
        <w:rPr>
          <w:rFonts w:hint="eastAsia" w:cs="宋体"/>
          <w:kern w:val="0"/>
          <w:szCs w:val="21"/>
        </w:rPr>
        <w:t>政策推送虽广，但是服务停留在“广泛告知”而非“深度赋能”，无法化解企业对复杂政策的“理解鸿沟”。</w:t>
      </w:r>
    </w:p>
    <w:p w14:paraId="097B44DC">
      <w:pPr>
        <w:ind w:firstLine="482"/>
        <w:rPr>
          <w:rFonts w:hint="eastAsia"/>
        </w:rPr>
      </w:pPr>
      <w:r>
        <w:rPr>
          <w:rFonts w:hint="eastAsia"/>
          <w:b/>
        </w:rPr>
        <w:t>矛盾三：产业赋能缺位与价值链攀升的矛盾。</w:t>
      </w:r>
      <w:r>
        <w:rPr>
          <w:rFonts w:hint="eastAsia" w:cs="宋体"/>
          <w:kern w:val="0"/>
          <w:szCs w:val="21"/>
        </w:rPr>
        <w:t>当前服务仍以响应单个涉税诉求为主，未能深度融入产业生态构建。</w:t>
      </w:r>
    </w:p>
    <w:p w14:paraId="218346F7">
      <w:pPr>
        <w:ind w:firstLine="480"/>
        <w:rPr>
          <w:rFonts w:hint="eastAsia"/>
        </w:rPr>
      </w:pPr>
      <w:r>
        <w:rPr>
          <w:rFonts w:hint="eastAsia"/>
        </w:rPr>
        <w:t>上述三重矛盾深刻揭示了云浮税收服务问题的</w:t>
      </w:r>
      <w:r>
        <w:rPr>
          <w:rFonts w:hint="eastAsia" w:cs="宋体"/>
          <w:kern w:val="0"/>
          <w:szCs w:val="21"/>
        </w:rPr>
        <w:t>本质：并非基础能力的缺失，而是现行服务模式与“倒T型”税源结构、产业高质量发展阶段之间出现了结构性的不适配。推动税收服务向“精准化、质量化、系统化”方向转型</w:t>
      </w:r>
      <w:r>
        <w:rPr>
          <w:rFonts w:hint="eastAsia"/>
        </w:rPr>
        <w:t>已成必然。</w:t>
      </w:r>
    </w:p>
    <w:p w14:paraId="6A4F5175">
      <w:pPr>
        <w:pStyle w:val="2"/>
        <w:rPr>
          <w:rFonts w:hint="eastAsia"/>
        </w:rPr>
      </w:pPr>
      <w:bookmarkStart w:id="8" w:name="_Toc213346731"/>
      <w:r>
        <w:rPr>
          <w:rFonts w:hint="eastAsia"/>
        </w:rPr>
        <w:t>四、经验借鉴：税务服务现代农业集群的系统化路径</w:t>
      </w:r>
      <w:bookmarkEnd w:id="8"/>
    </w:p>
    <w:p w14:paraId="0565EE75">
      <w:pPr>
        <w:ind w:firstLine="480"/>
      </w:pPr>
      <w:r>
        <w:rPr>
          <w:rFonts w:hint="eastAsia" w:cs="宋体"/>
          <w:kern w:val="0"/>
          <w:szCs w:val="21"/>
        </w:rPr>
        <w:t>研究紧扣云浮面临的政策知晓难、服务触达难和产业协同弱三大核心挑战，按服务机制维度构建了四层递进的案例体系。</w:t>
      </w:r>
    </w:p>
    <w:p w14:paraId="5EF839C1">
      <w:pPr>
        <w:pStyle w:val="3"/>
        <w:rPr>
          <w:rFonts w:hint="eastAsia"/>
        </w:rPr>
      </w:pPr>
      <w:bookmarkStart w:id="9" w:name="_Toc213346732"/>
      <w:r>
        <w:rPr>
          <w:rFonts w:hint="eastAsia"/>
        </w:rPr>
        <w:t>（一）精准匹配机制：从“人找政策”到“政策找人”</w:t>
      </w:r>
      <w:bookmarkEnd w:id="9"/>
    </w:p>
    <w:p w14:paraId="7F53548E">
      <w:pPr>
        <w:ind w:firstLine="480"/>
        <w:rPr>
          <w:rFonts w:hint="eastAsia"/>
        </w:rPr>
      </w:pPr>
      <w:r>
        <w:rPr>
          <w:rFonts w:hint="eastAsia"/>
        </w:rPr>
        <w:t>茂名</w:t>
      </w:r>
      <w:r>
        <w:rPr>
          <w:rFonts w:hint="eastAsia" w:cs="宋体"/>
          <w:kern w:val="0"/>
          <w:szCs w:val="21"/>
        </w:rPr>
        <w:t>按产业特点编制涵盖150多条政策的指引汇编，通过电子税务局“点对点”推送</w:t>
      </w:r>
      <w:r>
        <w:rPr>
          <w:rStyle w:val="16"/>
          <w:rFonts w:cs="宋体"/>
          <w:kern w:val="0"/>
          <w:szCs w:val="21"/>
        </w:rPr>
        <w:footnoteReference w:id="10"/>
      </w:r>
      <w:r>
        <w:rPr>
          <w:rFonts w:hint="eastAsia" w:cs="宋体"/>
          <w:kern w:val="0"/>
          <w:szCs w:val="21"/>
        </w:rPr>
        <w:t>。</w:t>
      </w:r>
      <w:r>
        <w:rPr>
          <w:rFonts w:hint="eastAsia"/>
        </w:rPr>
        <w:t>湛江作为全省试点，率先通过电子税务局实现税费优惠政策精准推送，</w:t>
      </w:r>
      <w:r>
        <w:rPr>
          <w:rFonts w:hint="eastAsia" w:cs="宋体"/>
          <w:kern w:val="0"/>
          <w:szCs w:val="21"/>
        </w:rPr>
        <w:t>2023年为131.99万户次纳税人精准推送242.36万条政策</w:t>
      </w:r>
      <w:r>
        <w:rPr>
          <w:rStyle w:val="16"/>
          <w:rFonts w:cs="宋体"/>
          <w:kern w:val="0"/>
          <w:szCs w:val="21"/>
        </w:rPr>
        <w:footnoteReference w:id="11"/>
      </w:r>
      <w:r>
        <w:rPr>
          <w:rFonts w:hint="eastAsia" w:cs="宋体"/>
          <w:kern w:val="0"/>
          <w:szCs w:val="21"/>
        </w:rPr>
        <w:t>，同时推行“机器管事+团队服务”征管模式，释放人力为重点企业提供个性化服务</w:t>
      </w:r>
      <w:r>
        <w:rPr>
          <w:rStyle w:val="16"/>
          <w:rFonts w:cs="宋体"/>
          <w:kern w:val="0"/>
          <w:szCs w:val="21"/>
        </w:rPr>
        <w:footnoteReference w:id="12"/>
      </w:r>
      <w:r>
        <w:rPr>
          <w:rFonts w:hint="eastAsia" w:cs="宋体"/>
          <w:kern w:val="0"/>
          <w:szCs w:val="21"/>
        </w:rPr>
        <w:t>。</w:t>
      </w:r>
      <w:r>
        <w:rPr>
          <w:rFonts w:hint="eastAsia"/>
        </w:rPr>
        <w:t>浙江的“税务大脑”利用大数据平台对企业数据进行智能分析，自动识别适用政策实现</w:t>
      </w:r>
      <w:r>
        <w:rPr>
          <w:rFonts w:hint="eastAsia" w:ascii="Segoe UI" w:hAnsi="Segoe UI" w:cs="Segoe UI"/>
          <w:color w:val="0F1115"/>
          <w:szCs w:val="21"/>
          <w:shd w:val="clear" w:color="auto" w:fill="FFFFFF"/>
        </w:rPr>
        <w:t>“</w:t>
      </w:r>
      <w:r>
        <w:rPr>
          <w:rFonts w:ascii="Segoe UI" w:hAnsi="Segoe UI" w:cs="Segoe UI"/>
          <w:color w:val="0F1115"/>
          <w:szCs w:val="21"/>
          <w:shd w:val="clear" w:color="auto" w:fill="FFFFFF"/>
        </w:rPr>
        <w:t>未问先送、政策直达</w:t>
      </w:r>
      <w:r>
        <w:rPr>
          <w:rFonts w:hint="eastAsia" w:ascii="Segoe UI" w:hAnsi="Segoe UI" w:cs="Segoe UI"/>
          <w:color w:val="0F1115"/>
          <w:szCs w:val="21"/>
          <w:shd w:val="clear" w:color="auto" w:fill="FFFFFF"/>
        </w:rPr>
        <w:t>”</w:t>
      </w:r>
      <w:r>
        <w:rPr>
          <w:rFonts w:hint="eastAsia"/>
        </w:rPr>
        <w:t>，将大数据从</w:t>
      </w:r>
      <w:r>
        <w:rPr>
          <w:rFonts w:hint="eastAsia" w:ascii="Segoe UI" w:hAnsi="Segoe UI" w:cs="Segoe UI"/>
          <w:color w:val="0F1115"/>
          <w:szCs w:val="21"/>
          <w:shd w:val="clear" w:color="auto" w:fill="FFFFFF"/>
        </w:rPr>
        <w:t>“</w:t>
      </w:r>
      <w:r>
        <w:rPr>
          <w:rFonts w:ascii="Segoe UI" w:hAnsi="Segoe UI" w:cs="Segoe UI"/>
          <w:color w:val="0F1115"/>
          <w:szCs w:val="21"/>
          <w:shd w:val="clear" w:color="auto" w:fill="FFFFFF"/>
        </w:rPr>
        <w:t>监管工具</w:t>
      </w:r>
      <w:r>
        <w:rPr>
          <w:rFonts w:hint="eastAsia" w:ascii="Segoe UI" w:hAnsi="Segoe UI" w:cs="Segoe UI"/>
          <w:color w:val="0F1115"/>
          <w:szCs w:val="21"/>
          <w:shd w:val="clear" w:color="auto" w:fill="FFFFFF"/>
        </w:rPr>
        <w:t>”</w:t>
      </w:r>
      <w:r>
        <w:rPr>
          <w:rFonts w:ascii="Segoe UI" w:hAnsi="Segoe UI" w:cs="Segoe UI"/>
          <w:color w:val="0F1115"/>
          <w:szCs w:val="21"/>
          <w:shd w:val="clear" w:color="auto" w:fill="FFFFFF"/>
        </w:rPr>
        <w:t>转化为</w:t>
      </w:r>
      <w:r>
        <w:rPr>
          <w:rFonts w:hint="eastAsia" w:ascii="Segoe UI" w:hAnsi="Segoe UI" w:cs="Segoe UI"/>
          <w:color w:val="0F1115"/>
          <w:szCs w:val="21"/>
          <w:shd w:val="clear" w:color="auto" w:fill="FFFFFF"/>
        </w:rPr>
        <w:t>“</w:t>
      </w:r>
      <w:r>
        <w:rPr>
          <w:rFonts w:ascii="Segoe UI" w:hAnsi="Segoe UI" w:cs="Segoe UI"/>
          <w:color w:val="0F1115"/>
          <w:szCs w:val="21"/>
          <w:shd w:val="clear" w:color="auto" w:fill="FFFFFF"/>
        </w:rPr>
        <w:t>服务引擎</w:t>
      </w:r>
      <w:r>
        <w:rPr>
          <w:rFonts w:hint="eastAsia" w:ascii="Segoe UI" w:hAnsi="Segoe UI" w:cs="Segoe UI"/>
          <w:color w:val="0F1115"/>
          <w:szCs w:val="21"/>
          <w:shd w:val="clear" w:color="auto" w:fill="FFFFFF"/>
        </w:rPr>
        <w:t>”</w:t>
      </w:r>
      <w:r>
        <w:rPr>
          <w:rFonts w:hint="eastAsia"/>
        </w:rPr>
        <w:t>。</w:t>
      </w:r>
    </w:p>
    <w:p w14:paraId="16FD3BD7">
      <w:pPr>
        <w:pStyle w:val="3"/>
      </w:pPr>
      <w:bookmarkStart w:id="10" w:name="_Toc213346733"/>
      <w:r>
        <w:t>（</w:t>
      </w:r>
      <w:r>
        <w:rPr>
          <w:rFonts w:hint="eastAsia"/>
        </w:rPr>
        <w:t>二</w:t>
      </w:r>
      <w:r>
        <w:t>）服务下沉机制：从</w:t>
      </w:r>
      <w:r>
        <w:rPr>
          <w:rFonts w:hint="eastAsia"/>
        </w:rPr>
        <w:t>“</w:t>
      </w:r>
      <w:r>
        <w:t>窗口等待</w:t>
      </w:r>
      <w:r>
        <w:rPr>
          <w:rFonts w:hint="eastAsia"/>
        </w:rPr>
        <w:t>”</w:t>
      </w:r>
      <w:r>
        <w:t>到</w:t>
      </w:r>
      <w:r>
        <w:rPr>
          <w:rFonts w:hint="eastAsia"/>
        </w:rPr>
        <w:t>“</w:t>
      </w:r>
      <w:r>
        <w:t>上门服务</w:t>
      </w:r>
      <w:r>
        <w:rPr>
          <w:rFonts w:hint="eastAsia"/>
        </w:rPr>
        <w:t>”</w:t>
      </w:r>
      <w:bookmarkEnd w:id="10"/>
    </w:p>
    <w:p w14:paraId="13FBB4B8">
      <w:pPr>
        <w:ind w:firstLine="480"/>
        <w:rPr>
          <w:rFonts w:hint="eastAsia" w:cs="宋体"/>
          <w:kern w:val="0"/>
          <w:szCs w:val="21"/>
        </w:rPr>
      </w:pPr>
      <w:r>
        <w:rPr>
          <w:rFonts w:hint="eastAsia"/>
        </w:rPr>
        <w:t>清远“文化适配”。</w:t>
      </w:r>
      <w:r>
        <w:rPr>
          <w:rFonts w:hint="eastAsia" w:cs="宋体"/>
          <w:kern w:val="0"/>
          <w:szCs w:val="21"/>
        </w:rPr>
        <w:t>清远市通过方言讲解、宣传册下沉等创新方式，打通服务“最后一公里”</w:t>
      </w:r>
      <w:r>
        <w:rPr>
          <w:rStyle w:val="16"/>
          <w:rFonts w:cs="宋体"/>
          <w:kern w:val="0"/>
          <w:szCs w:val="21"/>
        </w:rPr>
        <w:footnoteReference w:id="13"/>
      </w:r>
      <w:r>
        <w:rPr>
          <w:rFonts w:hint="eastAsia" w:cs="宋体"/>
          <w:kern w:val="0"/>
          <w:szCs w:val="21"/>
        </w:rPr>
        <w:t>。</w:t>
      </w:r>
      <w:r>
        <w:rPr>
          <w:rFonts w:hint="eastAsia"/>
        </w:rPr>
        <w:t>茂名市税务局对重点企业和项目“</w:t>
      </w:r>
      <w:r>
        <w:t>一对一</w:t>
      </w:r>
      <w:r>
        <w:rPr>
          <w:rFonts w:hint="eastAsia"/>
        </w:rPr>
        <w:t>”</w:t>
      </w:r>
      <w:r>
        <w:t>配备</w:t>
      </w:r>
      <w:r>
        <w:rPr>
          <w:rFonts w:hint="eastAsia"/>
        </w:rPr>
        <w:t>“</w:t>
      </w:r>
      <w:r>
        <w:t>首席税务服务师</w:t>
      </w:r>
      <w:r>
        <w:rPr>
          <w:rFonts w:hint="eastAsia"/>
        </w:rPr>
        <w:t>”，</w:t>
      </w:r>
      <w:r>
        <w:t>实行主动推送政策、分析动态、提示风险的</w:t>
      </w:r>
      <w:r>
        <w:rPr>
          <w:rFonts w:hint="eastAsia"/>
        </w:rPr>
        <w:t>“</w:t>
      </w:r>
      <w:r>
        <w:t>三个主动</w:t>
      </w:r>
      <w:r>
        <w:rPr>
          <w:rFonts w:hint="eastAsia"/>
        </w:rPr>
        <w:t>”</w:t>
      </w:r>
      <w:r>
        <w:t>模式</w:t>
      </w:r>
      <w:r>
        <w:rPr>
          <w:rStyle w:val="16"/>
          <w:szCs w:val="21"/>
        </w:rPr>
        <w:footnoteReference w:id="14"/>
      </w:r>
      <w:r>
        <w:t>。同时组建</w:t>
      </w:r>
      <w:r>
        <w:rPr>
          <w:rFonts w:hint="eastAsia"/>
        </w:rPr>
        <w:t>“</w:t>
      </w:r>
      <w:r>
        <w:t>助力乡村振兴税收服务队</w:t>
      </w:r>
      <w:r>
        <w:rPr>
          <w:rFonts w:hint="eastAsia"/>
        </w:rPr>
        <w:t>”</w:t>
      </w:r>
      <w:r>
        <w:t>，将专业化税收服务直接送达乡村一线</w:t>
      </w:r>
      <w:r>
        <w:rPr>
          <w:rStyle w:val="16"/>
          <w:szCs w:val="21"/>
        </w:rPr>
        <w:footnoteReference w:id="15"/>
      </w:r>
      <w:r>
        <w:t>。</w:t>
      </w:r>
      <w:r>
        <w:rPr>
          <w:rFonts w:hint="eastAsia"/>
        </w:rPr>
        <w:t>寿光</w:t>
      </w:r>
      <w:r>
        <w:rPr>
          <w:rFonts w:hint="eastAsia" w:cs="宋体"/>
          <w:kern w:val="0"/>
          <w:szCs w:val="21"/>
        </w:rPr>
        <w:t>市税务局推行“三位一体”服务下沉机制：推行线上答疑、上门辅导、电话跟踪等政策辅导</w:t>
      </w:r>
      <w:r>
        <w:rPr>
          <w:rStyle w:val="16"/>
          <w:rFonts w:cs="宋体"/>
          <w:kern w:val="0"/>
          <w:szCs w:val="21"/>
        </w:rPr>
        <w:footnoteReference w:id="16"/>
      </w:r>
      <w:r>
        <w:rPr>
          <w:rFonts w:hint="eastAsia" w:cs="宋体"/>
          <w:kern w:val="0"/>
          <w:szCs w:val="21"/>
        </w:rPr>
        <w:t>，组建“党员志愿服务队”走进“田间地头”宣讲政策</w:t>
      </w:r>
      <w:r>
        <w:rPr>
          <w:rStyle w:val="16"/>
          <w:rFonts w:cs="宋体"/>
          <w:kern w:val="0"/>
          <w:szCs w:val="21"/>
        </w:rPr>
        <w:footnoteReference w:id="17"/>
      </w:r>
      <w:r>
        <w:rPr>
          <w:rFonts w:hint="eastAsia" w:cs="宋体"/>
          <w:kern w:val="0"/>
          <w:szCs w:val="21"/>
        </w:rPr>
        <w:t>，设立“税务管家咨询室”提供贴心辅导</w:t>
      </w:r>
      <w:r>
        <w:rPr>
          <w:rStyle w:val="16"/>
          <w:rFonts w:cs="宋体"/>
          <w:kern w:val="0"/>
          <w:szCs w:val="21"/>
        </w:rPr>
        <w:footnoteReference w:id="18"/>
      </w:r>
      <w:r>
        <w:rPr>
          <w:rFonts w:hint="eastAsia" w:cs="宋体"/>
          <w:kern w:val="0"/>
          <w:szCs w:val="21"/>
        </w:rPr>
        <w:t>。</w:t>
      </w:r>
    </w:p>
    <w:p w14:paraId="051A6C00">
      <w:pPr>
        <w:pStyle w:val="3"/>
      </w:pPr>
      <w:bookmarkStart w:id="11" w:name="_Toc213346734"/>
      <w:r>
        <w:t>（</w:t>
      </w:r>
      <w:r>
        <w:rPr>
          <w:rFonts w:hint="eastAsia"/>
        </w:rPr>
        <w:t>三</w:t>
      </w:r>
      <w:r>
        <w:t>）产业链协同机制：从</w:t>
      </w:r>
      <w:r>
        <w:rPr>
          <w:rFonts w:hint="eastAsia"/>
        </w:rPr>
        <w:t>“</w:t>
      </w:r>
      <w:r>
        <w:t>单点服务</w:t>
      </w:r>
      <w:r>
        <w:rPr>
          <w:rFonts w:hint="eastAsia"/>
        </w:rPr>
        <w:t>”</w:t>
      </w:r>
      <w:r>
        <w:t>到</w:t>
      </w:r>
      <w:r>
        <w:rPr>
          <w:rFonts w:hint="eastAsia"/>
        </w:rPr>
        <w:t>“</w:t>
      </w:r>
      <w:r>
        <w:t>全链贯通</w:t>
      </w:r>
      <w:r>
        <w:rPr>
          <w:rFonts w:hint="eastAsia"/>
        </w:rPr>
        <w:t>”</w:t>
      </w:r>
      <w:bookmarkEnd w:id="11"/>
    </w:p>
    <w:p w14:paraId="05518348">
      <w:pPr>
        <w:ind w:firstLine="480"/>
      </w:pPr>
      <w:r>
        <w:rPr>
          <w:rFonts w:hint="eastAsia"/>
        </w:rPr>
        <w:t>清远的“全产业链政策包”</w:t>
      </w:r>
      <w:r>
        <w:rPr>
          <w:rFonts w:hint="eastAsia" w:cs="宋体"/>
          <w:kern w:val="0"/>
          <w:szCs w:val="21"/>
        </w:rPr>
        <w:t>针对英德红茶等特色产业，构建覆盖“种植-加工-茶旅融合”的全产业链政策包</w:t>
      </w:r>
      <w:r>
        <w:rPr>
          <w:rStyle w:val="16"/>
          <w:rFonts w:cs="宋体"/>
          <w:kern w:val="0"/>
          <w:szCs w:val="21"/>
        </w:rPr>
        <w:footnoteReference w:id="19"/>
      </w:r>
      <w:r>
        <w:rPr>
          <w:rFonts w:hint="eastAsia" w:cs="宋体"/>
          <w:kern w:val="0"/>
          <w:szCs w:val="21"/>
        </w:rPr>
        <w:t>。湛江市税务局对重点集群实施“全链条政策集成”，并对重点园区和项目设立“专班服务”模式，提供点对点精准服务，助力打造千亿级产业集群</w:t>
      </w:r>
      <w:r>
        <w:rPr>
          <w:rStyle w:val="16"/>
          <w:rFonts w:cs="宋体"/>
          <w:kern w:val="0"/>
          <w:szCs w:val="21"/>
        </w:rPr>
        <w:footnoteReference w:id="20"/>
      </w:r>
      <w:r>
        <w:rPr>
          <w:rFonts w:hint="eastAsia" w:cs="宋体"/>
          <w:kern w:val="0"/>
          <w:szCs w:val="21"/>
        </w:rPr>
        <w:t>。</w:t>
      </w:r>
    </w:p>
    <w:p w14:paraId="6D5008C5">
      <w:pPr>
        <w:pStyle w:val="3"/>
      </w:pPr>
      <w:bookmarkStart w:id="12" w:name="_Toc213346735"/>
      <w:r>
        <w:t>（四）生态培育理念：从</w:t>
      </w:r>
      <w:r>
        <w:rPr>
          <w:rFonts w:hint="eastAsia"/>
        </w:rPr>
        <w:t>“</w:t>
      </w:r>
      <w:r>
        <w:t>规模竞争</w:t>
      </w:r>
      <w:r>
        <w:rPr>
          <w:rFonts w:hint="eastAsia"/>
        </w:rPr>
        <w:t>”</w:t>
      </w:r>
      <w:r>
        <w:t>到</w:t>
      </w:r>
      <w:r>
        <w:rPr>
          <w:rFonts w:hint="eastAsia"/>
        </w:rPr>
        <w:t>“</w:t>
      </w:r>
      <w:r>
        <w:t>价值创造</w:t>
      </w:r>
      <w:r>
        <w:rPr>
          <w:rFonts w:hint="eastAsia"/>
        </w:rPr>
        <w:t>”</w:t>
      </w:r>
      <w:bookmarkEnd w:id="12"/>
    </w:p>
    <w:p w14:paraId="2D47CEB8">
      <w:pPr>
        <w:widowControl/>
        <w:ind w:firstLine="480"/>
        <w:rPr>
          <w:rFonts w:hint="eastAsia" w:cs="宋体"/>
          <w:kern w:val="0"/>
          <w:szCs w:val="24"/>
        </w:rPr>
      </w:pPr>
      <w:r>
        <w:rPr>
          <w:rFonts w:hint="eastAsia"/>
          <w:szCs w:val="24"/>
        </w:rPr>
        <w:t>荷兰“食品谷”</w:t>
      </w:r>
      <w:r>
        <w:rPr>
          <w:rFonts w:hint="eastAsia" w:cs="宋体"/>
          <w:kern w:val="0"/>
          <w:szCs w:val="24"/>
        </w:rPr>
        <w:t>构建集教育、科研、初创企业、跨国公司和风险投资于一体的开放式创新生态</w:t>
      </w:r>
      <w:r>
        <w:rPr>
          <w:rStyle w:val="16"/>
          <w:rFonts w:cs="宋体"/>
          <w:kern w:val="0"/>
          <w:szCs w:val="24"/>
        </w:rPr>
        <w:footnoteReference w:id="21"/>
      </w:r>
      <w:r>
        <w:rPr>
          <w:rFonts w:hint="eastAsia" w:cs="宋体"/>
          <w:kern w:val="0"/>
          <w:szCs w:val="24"/>
        </w:rPr>
        <w:t>。价值创造重心在“解决问题”而非“做产品”，核心竞争力在“创新能力”而非“规模”，盈利模式靠“技术溢价”而非“薄利多销”，通过“产学研资”一体化创新生态跳出传统农业“拼规模、拼成本”的低层次竞争。日本</w:t>
      </w:r>
      <w:bookmarkStart w:id="13" w:name="OLE_LINK87"/>
      <w:bookmarkStart w:id="14" w:name="OLE_LINK88"/>
      <w:r>
        <w:rPr>
          <w:rFonts w:hint="eastAsia" w:cs="宋体"/>
          <w:kern w:val="0"/>
          <w:szCs w:val="24"/>
        </w:rPr>
        <w:t>大分县</w:t>
      </w:r>
      <w:bookmarkEnd w:id="13"/>
      <w:bookmarkEnd w:id="14"/>
      <w:r>
        <w:rPr>
          <w:rFonts w:hint="eastAsia" w:cs="宋体"/>
          <w:kern w:val="0"/>
          <w:szCs w:val="24"/>
        </w:rPr>
        <w:t>“一村一品”运动深度挖掘本地资源，培育具有独特性和文化内涵的农产品品牌，通过建立严格质量标准、讲好品牌故事、发展体验旅游，实现从“卖产品”到“卖品牌”、“卖体验”的跃升</w:t>
      </w:r>
      <w:r>
        <w:rPr>
          <w:rStyle w:val="16"/>
          <w:rFonts w:cs="宋体"/>
          <w:kern w:val="0"/>
          <w:szCs w:val="24"/>
        </w:rPr>
        <w:footnoteReference w:id="22"/>
      </w:r>
      <w:r>
        <w:rPr>
          <w:rFonts w:hint="eastAsia" w:cs="宋体"/>
          <w:kern w:val="0"/>
          <w:szCs w:val="24"/>
        </w:rPr>
        <w:t>。</w:t>
      </w:r>
    </w:p>
    <w:p w14:paraId="7148D411">
      <w:pPr>
        <w:pStyle w:val="2"/>
        <w:rPr>
          <w:rFonts w:hint="eastAsia"/>
        </w:rPr>
      </w:pPr>
      <w:bookmarkStart w:id="15" w:name="_Toc213346736"/>
      <w:r>
        <w:rPr>
          <w:rFonts w:hint="eastAsia"/>
        </w:rPr>
        <w:t>五、政策建议：构建“点-线-面”协同的税源培育与服务体系</w:t>
      </w:r>
      <w:bookmarkEnd w:id="15"/>
    </w:p>
    <w:p w14:paraId="1D05B88C">
      <w:pPr>
        <w:ind w:firstLine="480"/>
        <w:rPr>
          <w:rFonts w:hint="eastAsia"/>
        </w:rPr>
      </w:pPr>
      <w:r>
        <w:rPr>
          <w:rFonts w:hint="eastAsia" w:cs="宋体"/>
          <w:bCs/>
          <w:szCs w:val="21"/>
        </w:rPr>
        <w:t>政策建议遵循四项原则：根植现实与顶层对标相结合、问题破解与经验借鉴相结合、税务赋能与产业协同相结合、权限约束与创新探索相结合。</w:t>
      </w:r>
    </w:p>
    <w:p w14:paraId="4D589C7D">
      <w:pPr>
        <w:pStyle w:val="3"/>
        <w:rPr>
          <w:rFonts w:hint="eastAsia"/>
        </w:rPr>
      </w:pPr>
      <w:bookmarkStart w:id="16" w:name="_Toc213346737"/>
      <w:r>
        <w:rPr>
          <w:rFonts w:hint="eastAsia"/>
        </w:rPr>
        <w:t>（一）精准化滴灌：从普适覆盖到重点突破</w:t>
      </w:r>
      <w:bookmarkEnd w:id="16"/>
    </w:p>
    <w:p w14:paraId="42A80EB0">
      <w:pPr>
        <w:ind w:firstLine="480"/>
        <w:rPr>
          <w:rFonts w:hint="eastAsia"/>
        </w:rPr>
      </w:pPr>
      <w:r>
        <w:rPr>
          <w:rFonts w:hint="eastAsia"/>
        </w:rPr>
        <w:t>实施“链主企业税收护航”计划。为4个百亿级集群链主企业配备专属服务团队，</w:t>
      </w:r>
      <w:r>
        <w:rPr>
          <w:rFonts w:hint="eastAsia" w:cs="宋体"/>
          <w:kern w:val="0"/>
          <w:szCs w:val="21"/>
        </w:rPr>
        <w:t>通过“主动对接+定期会商”机制</w:t>
      </w:r>
      <w:r>
        <w:rPr>
          <w:rFonts w:hint="eastAsia"/>
        </w:rPr>
        <w:t>，聚焦产业链拆分重组税收成本测算、跨区域经营税收协调等战略性涉税事务，巩固头部税源基础。</w:t>
      </w:r>
    </w:p>
    <w:p w14:paraId="6F81929C">
      <w:pPr>
        <w:ind w:firstLine="480"/>
        <w:rPr>
          <w:rFonts w:hint="eastAsia"/>
        </w:rPr>
      </w:pPr>
      <w:r>
        <w:rPr>
          <w:rFonts w:hint="eastAsia"/>
        </w:rPr>
        <w:t>开展“深加工企业成长陪伴”行动。编写畜牧业、预制菜产业链税收指引，针对初加工与精深加工税率界定、</w:t>
      </w:r>
      <w:r>
        <w:rPr>
          <w:rFonts w:hint="eastAsia" w:cs="宋体"/>
          <w:kern w:val="0"/>
          <w:szCs w:val="21"/>
        </w:rPr>
        <w:t>“公司+农户”</w:t>
      </w:r>
      <w:r>
        <w:rPr>
          <w:rFonts w:hint="eastAsia"/>
        </w:rPr>
        <w:t>模式增值税管理等难点进行案例化解读。</w:t>
      </w:r>
      <w:r>
        <w:rPr>
          <w:rFonts w:hint="eastAsia" w:cs="宋体"/>
          <w:kern w:val="0"/>
          <w:szCs w:val="21"/>
        </w:rPr>
        <w:t>建立“潜力型企业培育库”</w:t>
      </w:r>
      <w:r>
        <w:rPr>
          <w:rFonts w:hint="eastAsia"/>
        </w:rPr>
        <w:t>，从11个十亿级产业集群中筛选高成长性企业提供陪伴式服务，培育百万至千万级纳税中坚力量。</w:t>
      </w:r>
    </w:p>
    <w:p w14:paraId="4F185081">
      <w:pPr>
        <w:pStyle w:val="3"/>
        <w:rPr>
          <w:rFonts w:hint="eastAsia"/>
        </w:rPr>
      </w:pPr>
      <w:bookmarkStart w:id="17" w:name="_Toc213346738"/>
      <w:r>
        <w:rPr>
          <w:rFonts w:hint="eastAsia"/>
        </w:rPr>
        <w:t>（二）质量化导向：从数量扩张到效益提升</w:t>
      </w:r>
      <w:bookmarkEnd w:id="17"/>
    </w:p>
    <w:p w14:paraId="5038F401">
      <w:pPr>
        <w:ind w:firstLine="480"/>
        <w:rPr>
          <w:rFonts w:hint="eastAsia"/>
        </w:rPr>
      </w:pPr>
      <w:r>
        <w:rPr>
          <w:rFonts w:hint="eastAsia"/>
        </w:rPr>
        <w:t>构建“产业园税收健康度”动态评估机制。在省级指标基础上</w:t>
      </w:r>
      <w:r>
        <w:rPr>
          <w:rStyle w:val="16"/>
          <w:rFonts w:cs="宋体"/>
          <w:kern w:val="0"/>
          <w:szCs w:val="21"/>
        </w:rPr>
        <w:footnoteReference w:id="23"/>
      </w:r>
      <w:r>
        <w:rPr>
          <w:rFonts w:hint="eastAsia"/>
        </w:rPr>
        <w:t>增设税收贡献度、产业链健全度等特色指标，建立</w:t>
      </w:r>
      <w:r>
        <w:rPr>
          <w:rFonts w:hint="eastAsia" w:cs="宋体"/>
          <w:kern w:val="0"/>
          <w:szCs w:val="21"/>
        </w:rPr>
        <w:t>“季度跟踪、年度评估”</w:t>
      </w:r>
      <w:r>
        <w:rPr>
          <w:rFonts w:hint="eastAsia"/>
        </w:rPr>
        <w:t>闭环管理。优秀园区获</w:t>
      </w:r>
      <w:r>
        <w:rPr>
          <w:rFonts w:hint="eastAsia" w:cs="宋体"/>
          <w:kern w:val="0"/>
          <w:szCs w:val="21"/>
        </w:rPr>
        <w:t>“重点护航”</w:t>
      </w:r>
      <w:r>
        <w:rPr>
          <w:rFonts w:hint="eastAsia"/>
        </w:rPr>
        <w:t>服务，落后园区启动限期整改，引导资源向高质量园区集聚。</w:t>
      </w:r>
    </w:p>
    <w:p w14:paraId="6AAA701D">
      <w:pPr>
        <w:ind w:firstLine="480"/>
        <w:rPr>
          <w:rFonts w:hint="eastAsia"/>
        </w:rPr>
      </w:pPr>
      <w:r>
        <w:rPr>
          <w:rFonts w:hint="eastAsia"/>
        </w:rPr>
        <w:t>优化“银税互动”资源配置机制。将税收数据与市监、电力等部门数据融合，引入营收增速、研发投入强度等成长性指标，使信贷资源精准流向</w:t>
      </w:r>
      <w:r>
        <w:rPr>
          <w:rFonts w:hint="eastAsia" w:cs="宋体"/>
          <w:kern w:val="0"/>
          <w:szCs w:val="21"/>
        </w:rPr>
        <w:t>“准腰部”</w:t>
      </w:r>
      <w:r>
        <w:rPr>
          <w:rFonts w:hint="eastAsia"/>
        </w:rPr>
        <w:t>企业。探索</w:t>
      </w:r>
      <w:r>
        <w:rPr>
          <w:rFonts w:hint="eastAsia" w:cs="宋体"/>
          <w:kern w:val="0"/>
          <w:szCs w:val="21"/>
        </w:rPr>
        <w:t>“季节性资金需求”</w:t>
      </w:r>
      <w:r>
        <w:rPr>
          <w:rFonts w:hint="eastAsia"/>
        </w:rPr>
        <w:t>定制化信贷产品，为获得信贷支持的企业配备专属服务团队。</w:t>
      </w:r>
    </w:p>
    <w:p w14:paraId="4F6CA587">
      <w:pPr>
        <w:pStyle w:val="3"/>
        <w:rPr>
          <w:rFonts w:hint="eastAsia"/>
        </w:rPr>
      </w:pPr>
      <w:bookmarkStart w:id="18" w:name="_Toc213346739"/>
      <w:r>
        <w:rPr>
          <w:rFonts w:hint="eastAsia"/>
        </w:rPr>
        <w:t>（三）产业化协同：从单一服务到生态营造</w:t>
      </w:r>
      <w:bookmarkEnd w:id="18"/>
    </w:p>
    <w:p w14:paraId="3E1D5B11">
      <w:pPr>
        <w:ind w:firstLine="480"/>
        <w:rPr>
          <w:rFonts w:hint="eastAsia"/>
        </w:rPr>
      </w:pPr>
      <w:r>
        <w:rPr>
          <w:rFonts w:hint="eastAsia"/>
        </w:rPr>
        <w:t>建设“现代农业税收服务数字平台”。依托V-Tax、征纳互动平台等数字化基础，实现分层服务：对农户提供极简版界面跨越</w:t>
      </w:r>
      <w:r>
        <w:rPr>
          <w:rFonts w:hint="eastAsia" w:cs="宋体"/>
          <w:kern w:val="0"/>
          <w:szCs w:val="21"/>
        </w:rPr>
        <w:t>“数字鸿沟”</w:t>
      </w:r>
      <w:r>
        <w:rPr>
          <w:rFonts w:hint="eastAsia"/>
        </w:rPr>
        <w:t>；对成长型企业实现</w:t>
      </w:r>
      <w:r>
        <w:rPr>
          <w:rFonts w:hint="eastAsia" w:cs="宋体"/>
          <w:kern w:val="0"/>
          <w:szCs w:val="21"/>
        </w:rPr>
        <w:t>“政策找人”</w:t>
      </w:r>
      <w:r>
        <w:rPr>
          <w:rFonts w:hint="eastAsia"/>
        </w:rPr>
        <w:t>精准推送；对链主企业提供战略性涉税分析支持。</w:t>
      </w:r>
    </w:p>
    <w:p w14:paraId="414F1290">
      <w:pPr>
        <w:ind w:firstLine="480"/>
        <w:rPr>
          <w:rFonts w:hint="eastAsia"/>
        </w:rPr>
      </w:pPr>
      <w:r>
        <w:rPr>
          <w:rFonts w:hint="eastAsia"/>
        </w:rPr>
        <w:t>建立“功能性园区”税收服务前置机制。前置参与冷链物流、农业科技、中央厨房等功能性园区规划与招商，为意向入驻企业提供</w:t>
      </w:r>
      <w:r>
        <w:rPr>
          <w:rFonts w:hint="eastAsia" w:cs="宋体"/>
          <w:kern w:val="0"/>
          <w:szCs w:val="21"/>
        </w:rPr>
        <w:t>“税收环境预评估”</w:t>
      </w:r>
      <w:r>
        <w:rPr>
          <w:rFonts w:hint="eastAsia"/>
        </w:rPr>
        <w:t>，编制专项服务指引，降低招商引资涉税不确定性。</w:t>
      </w:r>
    </w:p>
    <w:p w14:paraId="3D218992">
      <w:pPr>
        <w:ind w:firstLine="480"/>
        <w:rPr>
          <w:rFonts w:hint="eastAsia"/>
        </w:rPr>
      </w:pPr>
      <w:r>
        <w:rPr>
          <w:rFonts w:hint="eastAsia"/>
        </w:rPr>
        <w:t>构建“税务+产业”协同治理新格局。建立市级</w:t>
      </w:r>
      <w:r>
        <w:rPr>
          <w:rFonts w:hint="eastAsia" w:cs="宋体"/>
          <w:kern w:val="0"/>
          <w:szCs w:val="21"/>
        </w:rPr>
        <w:t>“现代农业集群税收服务联席会议”</w:t>
      </w:r>
      <w:r>
        <w:rPr>
          <w:rFonts w:hint="eastAsia"/>
        </w:rPr>
        <w:t>制度，由税务、农业农村、工信、科技、商务等部门参加，明确职责分工，在保障数据安全前提下推动部门间数据交换，针对产业链短板制定跨部门联合支持方案。</w:t>
      </w:r>
    </w:p>
    <w:p w14:paraId="5068596D">
      <w:pPr>
        <w:pStyle w:val="3"/>
        <w:rPr>
          <w:rFonts w:hint="eastAsia"/>
        </w:rPr>
      </w:pPr>
      <w:bookmarkStart w:id="19" w:name="_Toc213346740"/>
      <w:r>
        <w:rPr>
          <w:rFonts w:hint="eastAsia"/>
        </w:rPr>
        <w:t>（四）实施路径：分阶段推进策略</w:t>
      </w:r>
      <w:bookmarkEnd w:id="19"/>
    </w:p>
    <w:p w14:paraId="46906425">
      <w:pPr>
        <w:ind w:firstLine="480"/>
      </w:pPr>
      <w:r>
        <w:rPr>
          <w:rFonts w:hint="eastAsia" w:cs="宋体"/>
          <w:kern w:val="0"/>
          <w:szCs w:val="21"/>
        </w:rPr>
        <w:t>优化路径的推进遵循从夯实基础到重点突破、最终实现创新驱动的战略演进逻辑。短期阶段启动“链主企业税收护航”与“深加工企业成长陪伴”两大行动，开发数字平台基础模块，建立协同治理框架性机制。中期阶段推动“潜力型企业培育库”，数字平台全面运行并将“税收健康度”等指标应用于园区考核，在功能性园区税收服务前置上实现突破，动态评估机制正式运行。长期阶段实现“倒T型”税源结构根本性改善，将数字平台与协同治理机制内化为云浮营商环境的标志性优势，使税收服务深度融入产业创新体系并形成可复制的“云浮经验”。</w:t>
      </w:r>
    </w:p>
    <w:sectPr>
      <w:headerReference r:id="rId5" w:type="default"/>
      <w:footerReference r:id="rId6" w:type="default"/>
      <w:footnotePr>
        <w:numRestart w:val="eachPage"/>
      </w:footnotePr>
      <w:pgSz w:w="11906" w:h="16838"/>
      <w:pgMar w:top="1440" w:right="1800" w:bottom="1440" w:left="1800" w:header="851" w:footer="992" w:gutter="0"/>
      <w:pgNumType w:start="1"/>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F56F05">
    <w:pPr>
      <w:pStyle w:val="7"/>
      <w:ind w:firstLine="360"/>
      <w:jc w:val="right"/>
    </w:pPr>
    <w:r>
      <w:t>-</w:t>
    </w:r>
    <w:sdt>
      <w:sdtPr>
        <w:id w:val="589855351"/>
        <w:docPartObj>
          <w:docPartGallery w:val="autotext"/>
        </w:docPartObj>
      </w:sdtPr>
      <w:sdtContent>
        <w:r>
          <w:fldChar w:fldCharType="begin"/>
        </w:r>
        <w:r>
          <w:instrText xml:space="preserve">PAGE   \* MERGEFORMAT</w:instrText>
        </w:r>
        <w:r>
          <w:fldChar w:fldCharType="separate"/>
        </w:r>
        <w:r>
          <w:rPr>
            <w:lang w:val="zh-CN"/>
          </w:rPr>
          <w:t>1</w:t>
        </w:r>
        <w:r>
          <w:fldChar w:fldCharType="end"/>
        </w:r>
        <w:r>
          <w:t>-</w:t>
        </w:r>
      </w:sdtContent>
    </w:sdt>
  </w:p>
  <w:p w14:paraId="7FD81CD4">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8">
    <w:p>
      <w:pPr>
        <w:spacing w:line="360" w:lineRule="auto"/>
        <w:ind w:firstLine="480"/>
      </w:pPr>
      <w:r>
        <w:separator/>
      </w:r>
    </w:p>
  </w:footnote>
  <w:footnote w:type="continuationSeparator" w:id="49">
    <w:p>
      <w:pPr>
        <w:spacing w:line="360" w:lineRule="auto"/>
        <w:ind w:firstLine="480"/>
      </w:pPr>
      <w:r>
        <w:continuationSeparator/>
      </w:r>
    </w:p>
  </w:footnote>
  <w:footnote w:id="0">
    <w:p w14:paraId="01BE66CD">
      <w:pPr>
        <w:pStyle w:val="10"/>
        <w:ind w:firstLine="0" w:firstLineChars="0"/>
      </w:pPr>
      <w:r>
        <w:rPr>
          <w:rStyle w:val="16"/>
        </w:rPr>
        <w:footnoteRef/>
      </w:r>
      <w:r>
        <w:rPr>
          <w:rFonts w:hint="eastAsia"/>
        </w:rPr>
        <w:t>云浮市统计局：《2024年云浮市国民经济和社会发展统计公报》</w:t>
      </w:r>
    </w:p>
  </w:footnote>
  <w:footnote w:id="1">
    <w:p w14:paraId="306C1A93">
      <w:pPr>
        <w:pStyle w:val="10"/>
        <w:ind w:firstLine="0" w:firstLineChars="0"/>
      </w:pPr>
      <w:r>
        <w:rPr>
          <w:rStyle w:val="16"/>
        </w:rPr>
        <w:footnoteRef/>
      </w:r>
      <w:r>
        <w:rPr>
          <w:rFonts w:hint="eastAsia"/>
        </w:rPr>
        <w:t>根据课题组2025年7月对云浮市农业农村局的调研访谈整理</w:t>
      </w:r>
    </w:p>
  </w:footnote>
  <w:footnote w:id="2">
    <w:p w14:paraId="7053B540">
      <w:pPr>
        <w:pStyle w:val="10"/>
        <w:spacing w:line="240" w:lineRule="auto"/>
        <w:ind w:firstLine="0" w:firstLineChars="0"/>
        <w:jc w:val="both"/>
      </w:pPr>
      <w:r>
        <w:rPr>
          <w:rStyle w:val="16"/>
        </w:rPr>
        <w:footnoteRef/>
      </w:r>
      <w:r>
        <w:rPr>
          <w:rFonts w:hint="eastAsia"/>
        </w:rPr>
        <w:t>广东省委农办、省农业农村厅：《关于现代农业产业集群培育行动方案（2025年—2027年）》（以下简称《行动方案》）</w:t>
      </w:r>
    </w:p>
  </w:footnote>
  <w:footnote w:id="3">
    <w:p w14:paraId="092A6DCC">
      <w:pPr>
        <w:pStyle w:val="10"/>
        <w:ind w:firstLine="0" w:firstLineChars="0"/>
        <w:rPr>
          <w:rFonts w:hint="eastAsia"/>
        </w:rPr>
      </w:pPr>
      <w:r>
        <w:rPr>
          <w:rStyle w:val="16"/>
        </w:rPr>
        <w:footnoteRef/>
      </w:r>
      <w:r>
        <w:rPr>
          <w:rFonts w:ascii="Segoe UI" w:hAnsi="Segoe UI" w:cs="Segoe UI"/>
          <w:color w:val="0F1115"/>
          <w:shd w:val="clear" w:color="auto" w:fill="FFFFFF"/>
        </w:rPr>
        <w:t>本研究的相关调研活动获《中国日报网》、《中国报道网》、《南方日报》等权威媒体专题报道十余次，在提升课题社会影响力的同时，也为被调研的本地企业带来了一定的品牌曝光度</w:t>
      </w:r>
      <w:r>
        <w:rPr>
          <w:rFonts w:hint="eastAsia"/>
        </w:rPr>
        <w:t>。代表性报道如中国报道网《新兴：税校企共绘“茶富农”新画卷》，详见：</w:t>
      </w:r>
      <w:r>
        <w:fldChar w:fldCharType="begin"/>
      </w:r>
      <w:r>
        <w:instrText xml:space="preserve"> HYPERLINK "http://cxzg.chinareports.org.cn/cxzg/news/66054.html" </w:instrText>
      </w:r>
      <w:r>
        <w:fldChar w:fldCharType="separate"/>
      </w:r>
      <w:r>
        <w:rPr>
          <w:rStyle w:val="15"/>
          <w:rFonts w:hint="eastAsia"/>
        </w:rPr>
        <w:t>http://cxzg.chinareports.org.cn/cxzg/news/66054.html</w:t>
      </w:r>
      <w:r>
        <w:rPr>
          <w:rStyle w:val="15"/>
          <w:rFonts w:hint="eastAsia"/>
        </w:rPr>
        <w:fldChar w:fldCharType="end"/>
      </w:r>
      <w:r>
        <w:rPr>
          <w:rFonts w:hint="eastAsia"/>
        </w:rPr>
        <w:t xml:space="preserve"> </w:t>
      </w:r>
      <w:r>
        <w:t>。</w:t>
      </w:r>
    </w:p>
  </w:footnote>
  <w:footnote w:id="4">
    <w:p w14:paraId="07CE64D1">
      <w:pPr>
        <w:pStyle w:val="10"/>
        <w:spacing w:line="240" w:lineRule="auto"/>
        <w:ind w:firstLine="0" w:firstLineChars="0"/>
      </w:pPr>
      <w:r>
        <w:rPr>
          <w:rStyle w:val="16"/>
        </w:rPr>
        <w:footnoteRef/>
      </w:r>
      <w:r>
        <w:rPr>
          <w:rFonts w:hint="eastAsia"/>
        </w:rPr>
        <w:t>数据根据课题组2025年7月对云浮市农业农村局的调研访谈整理，以上数据剔除了2个被摘牌的产业园。</w:t>
      </w:r>
    </w:p>
  </w:footnote>
  <w:footnote w:id="5">
    <w:p w14:paraId="14040B8F">
      <w:pPr>
        <w:pStyle w:val="10"/>
        <w:spacing w:line="240" w:lineRule="auto"/>
        <w:ind w:firstLine="0" w:firstLineChars="0"/>
      </w:pPr>
      <w:r>
        <w:rPr>
          <w:rStyle w:val="16"/>
        </w:rPr>
        <w:footnoteRef/>
      </w:r>
      <w:r>
        <w:rPr>
          <w:rFonts w:hint="eastAsia"/>
        </w:rPr>
        <w:t>数据由云浮市税务局提供。</w:t>
      </w:r>
    </w:p>
  </w:footnote>
  <w:footnote w:id="6">
    <w:p w14:paraId="3F5A8BDF">
      <w:pPr>
        <w:pStyle w:val="10"/>
        <w:spacing w:line="240" w:lineRule="auto"/>
        <w:ind w:firstLine="0" w:firstLineChars="0"/>
      </w:pPr>
      <w:r>
        <w:rPr>
          <w:rStyle w:val="16"/>
        </w:rPr>
        <w:footnoteRef/>
      </w:r>
      <w:r>
        <w:rPr>
          <w:rFonts w:hint="eastAsia"/>
        </w:rPr>
        <w:t>产业园建设成效数据由云浮市农业农村局提供。</w:t>
      </w:r>
    </w:p>
  </w:footnote>
  <w:footnote w:id="7">
    <w:p w14:paraId="3D4C8C84">
      <w:pPr>
        <w:pStyle w:val="10"/>
        <w:spacing w:line="240" w:lineRule="auto"/>
        <w:ind w:firstLine="0" w:firstLineChars="0"/>
      </w:pPr>
      <w:r>
        <w:rPr>
          <w:rStyle w:val="16"/>
        </w:rPr>
        <w:footnoteRef/>
      </w:r>
      <w:bookmarkStart w:id="20" w:name="OLE_LINK47"/>
      <w:bookmarkStart w:id="21" w:name="OLE_LINK48"/>
      <w:r>
        <w:rPr>
          <w:rFonts w:hint="eastAsia"/>
        </w:rPr>
        <w:t>对云浮市税务局的</w:t>
      </w:r>
      <w:bookmarkEnd w:id="20"/>
      <w:bookmarkEnd w:id="21"/>
      <w:r>
        <w:rPr>
          <w:rFonts w:hint="eastAsia"/>
        </w:rPr>
        <w:t>调研显示，云浮市重点税源结构呈现显著的“倒T型”特征，税收收入过度依赖少数大型企业。这种高度集中的格局，不仅反映出“头重脚轻”的结构性失衡，也意味着税源体系的抗风险能力不足。值得注意的是，这一结构性风险已在现代农业产业集群中显现。</w:t>
      </w:r>
    </w:p>
  </w:footnote>
  <w:footnote w:id="8">
    <w:p w14:paraId="4B2271C2">
      <w:pPr>
        <w:pStyle w:val="10"/>
        <w:ind w:firstLine="0" w:firstLineChars="0"/>
        <w:rPr>
          <w:rFonts w:hint="eastAsia"/>
        </w:rPr>
      </w:pPr>
      <w:r>
        <w:rPr>
          <w:rStyle w:val="16"/>
        </w:rPr>
        <w:footnoteRef/>
      </w:r>
      <w:r>
        <w:rPr>
          <w:rFonts w:hint="eastAsia"/>
        </w:rPr>
        <w:t>微观税源结构数据来源于云浮市农业农村局发布的《2023年农业产业化经营发展情况》。</w:t>
      </w:r>
    </w:p>
  </w:footnote>
  <w:footnote w:id="9">
    <w:p w14:paraId="37875558">
      <w:pPr>
        <w:pStyle w:val="10"/>
        <w:spacing w:line="240" w:lineRule="auto"/>
        <w:ind w:firstLine="0" w:firstLineChars="0"/>
      </w:pPr>
      <w:r>
        <w:rPr>
          <w:rStyle w:val="16"/>
        </w:rPr>
        <w:footnoteRef/>
      </w:r>
      <w:r>
        <w:rPr>
          <w:rFonts w:hint="eastAsia"/>
        </w:rPr>
        <w:t>除特别注明外，关于云浮市税务服务现状的数据，均源自课题组2025年7月的实地调研访谈记录，以及云浮市2023与2024年度的税收服务发展报告。</w:t>
      </w:r>
    </w:p>
  </w:footnote>
  <w:footnote w:id="10">
    <w:p w14:paraId="4E052E33">
      <w:pPr>
        <w:pStyle w:val="10"/>
        <w:spacing w:line="240" w:lineRule="auto"/>
        <w:ind w:firstLine="0" w:firstLineChars="0"/>
      </w:pPr>
      <w:r>
        <w:rPr>
          <w:rStyle w:val="16"/>
        </w:rPr>
        <w:footnoteRef/>
      </w:r>
      <w:r>
        <w:rPr>
          <w:rFonts w:hint="eastAsia"/>
        </w:rPr>
        <w:t>国家税务总局茂名市税务局：《茂名：税惠政策加力度 产业发展加速度——茂名推出六大产业税务支持政策指引汇编》</w:t>
      </w:r>
    </w:p>
  </w:footnote>
  <w:footnote w:id="11">
    <w:p w14:paraId="397B793B">
      <w:pPr>
        <w:pStyle w:val="10"/>
        <w:spacing w:line="240" w:lineRule="auto"/>
        <w:ind w:firstLine="0" w:firstLineChars="0"/>
      </w:pPr>
      <w:r>
        <w:rPr>
          <w:rStyle w:val="16"/>
        </w:rPr>
        <w:footnoteRef/>
      </w:r>
      <w:r>
        <w:rPr>
          <w:rFonts w:hint="eastAsia"/>
        </w:rPr>
        <w:t>湛江市发展和改革局：《营商环境建设优秀案例｜湛江市税务局全省率先通过电子税务局实现税费优惠政策精准推送》</w:t>
      </w:r>
    </w:p>
  </w:footnote>
  <w:footnote w:id="12">
    <w:p w14:paraId="248B6E05">
      <w:pPr>
        <w:pStyle w:val="10"/>
        <w:spacing w:line="240" w:lineRule="auto"/>
        <w:ind w:firstLine="0" w:firstLineChars="0"/>
      </w:pPr>
      <w:r>
        <w:rPr>
          <w:rStyle w:val="16"/>
        </w:rPr>
        <w:footnoteRef/>
      </w:r>
      <w:r>
        <w:rPr>
          <w:rFonts w:hint="eastAsia"/>
        </w:rPr>
        <w:t>国家税务总局湛江市税务局：《湛江税务：聚力深化改革 打造新模式新平台》</w:t>
      </w:r>
    </w:p>
  </w:footnote>
  <w:footnote w:id="13">
    <w:p w14:paraId="42B0BD14">
      <w:pPr>
        <w:pStyle w:val="10"/>
        <w:spacing w:line="240" w:lineRule="auto"/>
        <w:ind w:firstLine="0" w:firstLineChars="0"/>
      </w:pPr>
      <w:r>
        <w:rPr>
          <w:rStyle w:val="16"/>
        </w:rPr>
        <w:footnoteRef/>
      </w:r>
      <w:r>
        <w:rPr>
          <w:rFonts w:ascii="Segoe UI" w:hAnsi="Segoe UI" w:cs="Segoe UI"/>
          <w:shd w:val="clear" w:color="auto" w:fill="FFFFFF"/>
        </w:rPr>
        <w:t>国家税务总局广东省税务局：《税惠“微视角”照见乡村大发展——清远税务精细化服务乡村振兴见闻录》</w:t>
      </w:r>
    </w:p>
  </w:footnote>
  <w:footnote w:id="14">
    <w:p w14:paraId="4215E5CE">
      <w:pPr>
        <w:pStyle w:val="10"/>
        <w:spacing w:line="240" w:lineRule="auto"/>
        <w:ind w:firstLine="0" w:firstLineChars="0"/>
      </w:pPr>
      <w:r>
        <w:rPr>
          <w:rStyle w:val="16"/>
        </w:rPr>
        <w:footnoteRef/>
      </w:r>
      <w:r>
        <w:rPr>
          <w:rFonts w:ascii="Segoe UI" w:hAnsi="Segoe UI" w:cs="Segoe UI"/>
          <w:shd w:val="clear" w:color="auto" w:fill="FFFFFF"/>
        </w:rPr>
        <w:t>国家税务总局茂名市税务局：《茂名：税惠政策加力度 产业发展加速度——茂名推出六大产业税务支持政策指引汇编》</w:t>
      </w:r>
      <w:r>
        <w:rPr>
          <w:rFonts w:hint="eastAsia"/>
        </w:rPr>
        <w:t xml:space="preserve"> </w:t>
      </w:r>
    </w:p>
  </w:footnote>
  <w:footnote w:id="15">
    <w:p w14:paraId="23E9E01D">
      <w:pPr>
        <w:pStyle w:val="10"/>
        <w:spacing w:line="240" w:lineRule="auto"/>
        <w:ind w:firstLine="0" w:firstLineChars="0"/>
      </w:pPr>
      <w:r>
        <w:rPr>
          <w:rStyle w:val="16"/>
        </w:rPr>
        <w:footnoteRef/>
      </w:r>
      <w:r>
        <w:rPr>
          <w:rFonts w:ascii="Segoe UI" w:hAnsi="Segoe UI" w:cs="Segoe UI"/>
          <w:shd w:val="clear" w:color="auto" w:fill="FFFFFF"/>
        </w:rPr>
        <w:t>国家税务总局茂名市税务局：《茂名税务：以税惠农兴农 赋能乡村振兴》</w:t>
      </w:r>
    </w:p>
  </w:footnote>
  <w:footnote w:id="16">
    <w:p w14:paraId="5567F3CB">
      <w:pPr>
        <w:pStyle w:val="10"/>
        <w:spacing w:line="240" w:lineRule="auto"/>
        <w:ind w:firstLine="0" w:firstLineChars="0"/>
      </w:pPr>
      <w:r>
        <w:rPr>
          <w:rStyle w:val="16"/>
        </w:rPr>
        <w:footnoteRef/>
      </w:r>
      <w:r>
        <w:rPr>
          <w:rFonts w:ascii="Segoe UI" w:hAnsi="Segoe UI" w:cs="Segoe UI"/>
          <w:shd w:val="clear" w:color="auto" w:fill="FFFFFF"/>
        </w:rPr>
        <w:t>郭勇：《税收助力“菜篮子”稳产保供》</w:t>
      </w:r>
    </w:p>
  </w:footnote>
  <w:footnote w:id="17">
    <w:p w14:paraId="436B6A9C">
      <w:pPr>
        <w:pStyle w:val="10"/>
        <w:spacing w:line="240" w:lineRule="auto"/>
        <w:ind w:firstLine="0" w:firstLineChars="0"/>
      </w:pPr>
      <w:r>
        <w:rPr>
          <w:rStyle w:val="16"/>
        </w:rPr>
        <w:footnoteRef/>
      </w:r>
      <w:bookmarkStart w:id="22" w:name="OLE_LINK111"/>
      <w:bookmarkStart w:id="23" w:name="OLE_LINK110"/>
      <w:r>
        <w:rPr>
          <w:rFonts w:ascii="Segoe UI" w:hAnsi="Segoe UI" w:cs="Segoe UI"/>
          <w:shd w:val="clear" w:color="auto" w:fill="FFFFFF"/>
        </w:rPr>
        <w:t>国家税务总局寿光市税务局：</w:t>
      </w:r>
      <w:bookmarkEnd w:id="22"/>
      <w:bookmarkEnd w:id="23"/>
      <w:bookmarkStart w:id="24" w:name="OLE_LINK112"/>
      <w:bookmarkStart w:id="25" w:name="OLE_LINK113"/>
      <w:r>
        <w:rPr>
          <w:rFonts w:ascii="Segoe UI" w:hAnsi="Segoe UI" w:cs="Segoe UI"/>
          <w:shd w:val="clear" w:color="auto" w:fill="FFFFFF"/>
        </w:rPr>
        <w:t>《</w:t>
      </w:r>
      <w:bookmarkEnd w:id="24"/>
      <w:bookmarkEnd w:id="25"/>
      <w:r>
        <w:rPr>
          <w:rFonts w:ascii="Segoe UI" w:hAnsi="Segoe UI" w:cs="Segoe UI"/>
          <w:shd w:val="clear" w:color="auto" w:fill="FFFFFF"/>
        </w:rPr>
        <w:t>寿光税务：聚力优化服务 打造税企关系“新枫貌”》</w:t>
      </w:r>
    </w:p>
  </w:footnote>
  <w:footnote w:id="18">
    <w:p w14:paraId="6FCB1AE5">
      <w:pPr>
        <w:pStyle w:val="10"/>
        <w:spacing w:line="240" w:lineRule="auto"/>
        <w:ind w:firstLine="0" w:firstLineChars="0"/>
      </w:pPr>
      <w:r>
        <w:rPr>
          <w:rStyle w:val="16"/>
        </w:rPr>
        <w:footnoteRef/>
      </w:r>
      <w:r>
        <w:rPr>
          <w:rFonts w:ascii="Segoe UI" w:hAnsi="Segoe UI" w:cs="Segoe UI"/>
          <w:shd w:val="clear" w:color="auto" w:fill="FFFFFF"/>
        </w:rPr>
        <w:t>国家税务总局寿光市税务局</w:t>
      </w:r>
      <w:r>
        <w:rPr>
          <w:rFonts w:hint="eastAsia"/>
        </w:rPr>
        <w:t>：</w:t>
      </w:r>
      <w:r>
        <w:rPr>
          <w:rFonts w:ascii="Segoe UI" w:hAnsi="Segoe UI" w:cs="Segoe UI"/>
          <w:shd w:val="clear" w:color="auto" w:fill="FFFFFF"/>
        </w:rPr>
        <w:t>《举措优化出实招 纳税服务提质效》</w:t>
      </w:r>
      <w:r>
        <w:rPr>
          <w:rFonts w:hint="eastAsia"/>
        </w:rPr>
        <w:t xml:space="preserve"> </w:t>
      </w:r>
    </w:p>
  </w:footnote>
  <w:footnote w:id="19">
    <w:p w14:paraId="1300949B">
      <w:pPr>
        <w:pStyle w:val="10"/>
        <w:spacing w:line="240" w:lineRule="auto"/>
        <w:ind w:firstLine="0" w:firstLineChars="0"/>
      </w:pPr>
      <w:r>
        <w:rPr>
          <w:rStyle w:val="16"/>
        </w:rPr>
        <w:footnoteRef/>
      </w:r>
      <w:r>
        <w:rPr>
          <w:rFonts w:ascii="Segoe UI" w:hAnsi="Segoe UI" w:cs="Segoe UI"/>
          <w:shd w:val="clear" w:color="auto" w:fill="FFFFFF"/>
        </w:rPr>
        <w:t>国家税务总局广东省税务局：《科技“智”造+税惠政策助力清远农业》</w:t>
      </w:r>
    </w:p>
  </w:footnote>
  <w:footnote w:id="20">
    <w:p w14:paraId="5A001EB5">
      <w:pPr>
        <w:pStyle w:val="10"/>
        <w:spacing w:line="240" w:lineRule="auto"/>
        <w:ind w:firstLine="0" w:firstLineChars="0"/>
      </w:pPr>
      <w:r>
        <w:rPr>
          <w:rStyle w:val="16"/>
        </w:rPr>
        <w:footnoteRef/>
      </w:r>
      <w:r>
        <w:rPr>
          <w:rFonts w:hint="eastAsia"/>
        </w:rPr>
        <w:t xml:space="preserve">湛江市人民政府：《湛江税务推出18项措施做优做强产业集群》 </w:t>
      </w:r>
    </w:p>
  </w:footnote>
  <w:footnote w:id="21">
    <w:p w14:paraId="2597DE66">
      <w:pPr>
        <w:pStyle w:val="10"/>
        <w:spacing w:line="240" w:lineRule="auto"/>
        <w:ind w:firstLine="0" w:firstLineChars="0"/>
        <w:jc w:val="both"/>
      </w:pPr>
      <w:r>
        <w:rPr>
          <w:rStyle w:val="16"/>
        </w:rPr>
        <w:footnoteRef/>
      </w:r>
      <w:r>
        <w:rPr>
          <w:rFonts w:ascii="Segoe UI" w:hAnsi="Segoe UI" w:cs="Segoe UI"/>
          <w:shd w:val="clear" w:color="auto" w:fill="FFFFFF"/>
        </w:rPr>
        <w:t>陈三林：《荷兰农业产业化的发展回顾与未来展望》</w:t>
      </w:r>
    </w:p>
  </w:footnote>
  <w:footnote w:id="22">
    <w:p w14:paraId="67D9DA9B">
      <w:pPr>
        <w:pStyle w:val="10"/>
        <w:spacing w:line="240" w:lineRule="auto"/>
        <w:ind w:firstLine="0" w:firstLineChars="0"/>
        <w:jc w:val="both"/>
      </w:pPr>
      <w:r>
        <w:rPr>
          <w:rStyle w:val="16"/>
        </w:rPr>
        <w:footnoteRef/>
      </w:r>
      <w:r>
        <w:rPr>
          <w:rFonts w:ascii="Segoe UI" w:hAnsi="Segoe UI" w:cs="Segoe UI"/>
          <w:shd w:val="clear" w:color="auto" w:fill="FFFFFF"/>
        </w:rPr>
        <w:t>高鹏、廖嘉豪、万俊毅：《“一村一品”示范村镇的空间特征及驱动机制演变》</w:t>
      </w:r>
    </w:p>
  </w:footnote>
  <w:footnote w:id="23">
    <w:p w14:paraId="65D8EC97">
      <w:pPr>
        <w:pStyle w:val="10"/>
        <w:spacing w:line="240" w:lineRule="auto"/>
        <w:ind w:firstLine="0" w:firstLineChars="0"/>
      </w:pPr>
      <w:r>
        <w:rPr>
          <w:rStyle w:val="16"/>
        </w:rPr>
        <w:footnoteRef/>
      </w:r>
      <w:r>
        <w:rPr>
          <w:rFonts w:hint="eastAsia"/>
        </w:rPr>
        <w:t>根据广东省农业农村厅《广东省现代农业产业园中期评估办法（试行）》，《广东省现代农业产业园验收办法（试行）》，《广东省现代农业产业园财政资金管理办法（修订）》等文件规定，省级现代农业产业园已建立了以中期评估和验收为核心的动态管理机制。评估指标包括组织管理、项目实施、资金使用和联农带农等方面。中期评估“通过”的产业园，才能获得第二批省级财政补助资金；评估“不通过”的，不再拨付后续资金。</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787AB0">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numRestart w:val="eachPage"/>
    <w:footnote w:id="48"/>
    <w:footnote w:id="49"/>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1B8"/>
    <w:rsid w:val="00043BCE"/>
    <w:rsid w:val="001E6B6C"/>
    <w:rsid w:val="00213182"/>
    <w:rsid w:val="0024166E"/>
    <w:rsid w:val="00246A17"/>
    <w:rsid w:val="002C23EB"/>
    <w:rsid w:val="00382F4A"/>
    <w:rsid w:val="003A0994"/>
    <w:rsid w:val="003D36FF"/>
    <w:rsid w:val="004467E2"/>
    <w:rsid w:val="004E59A2"/>
    <w:rsid w:val="006F37ED"/>
    <w:rsid w:val="00770238"/>
    <w:rsid w:val="0081775C"/>
    <w:rsid w:val="00842F92"/>
    <w:rsid w:val="00867D7A"/>
    <w:rsid w:val="008A2C33"/>
    <w:rsid w:val="00974050"/>
    <w:rsid w:val="00A0445B"/>
    <w:rsid w:val="00A314AC"/>
    <w:rsid w:val="00A55DB4"/>
    <w:rsid w:val="00AB7AA5"/>
    <w:rsid w:val="00B441B8"/>
    <w:rsid w:val="00BB78C0"/>
    <w:rsid w:val="00C30001"/>
    <w:rsid w:val="00D333EE"/>
    <w:rsid w:val="00D862ED"/>
    <w:rsid w:val="00DA51B0"/>
    <w:rsid w:val="00E104A0"/>
    <w:rsid w:val="00E377F2"/>
    <w:rsid w:val="00E92A13"/>
    <w:rsid w:val="00E94EFE"/>
    <w:rsid w:val="00F35B41"/>
    <w:rsid w:val="00F9740E"/>
    <w:rsid w:val="00FC3688"/>
    <w:rsid w:val="10F6636A"/>
    <w:rsid w:val="ABE855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360" w:lineRule="auto"/>
      <w:ind w:firstLine="200"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19"/>
    <w:qFormat/>
    <w:uiPriority w:val="9"/>
    <w:pPr>
      <w:widowControl/>
      <w:shd w:val="clear" w:color="auto" w:fill="FFFFFF"/>
      <w:adjustRightInd/>
      <w:snapToGrid/>
      <w:spacing w:before="240" w:after="240" w:line="240" w:lineRule="auto"/>
      <w:ind w:firstLine="482" w:firstLineChars="0"/>
      <w:jc w:val="left"/>
      <w:outlineLvl w:val="0"/>
    </w:pPr>
    <w:rPr>
      <w:rFonts w:ascii="Segoe UI" w:hAnsi="Segoe UI" w:cs="Segoe UI"/>
      <w:b/>
      <w:bCs/>
      <w:color w:val="0F1115"/>
      <w:kern w:val="0"/>
      <w:sz w:val="28"/>
      <w:szCs w:val="28"/>
    </w:rPr>
  </w:style>
  <w:style w:type="paragraph" w:styleId="3">
    <w:name w:val="heading 2"/>
    <w:basedOn w:val="1"/>
    <w:next w:val="1"/>
    <w:link w:val="18"/>
    <w:unhideWhenUsed/>
    <w:qFormat/>
    <w:uiPriority w:val="9"/>
    <w:pPr>
      <w:ind w:firstLine="482"/>
      <w:outlineLvl w:val="1"/>
    </w:pPr>
    <w:rPr>
      <w:b/>
      <w:color w:val="000000" w:themeColor="text1"/>
      <w:szCs w:val="24"/>
      <w14:textFill>
        <w14:solidFill>
          <w14:schemeClr w14:val="tx1"/>
        </w14:solidFill>
      </w14:textFill>
    </w:rPr>
  </w:style>
  <w:style w:type="paragraph" w:styleId="4">
    <w:name w:val="heading 3"/>
    <w:basedOn w:val="1"/>
    <w:link w:val="17"/>
    <w:qFormat/>
    <w:uiPriority w:val="9"/>
    <w:pPr>
      <w:widowControl/>
      <w:adjustRightInd/>
      <w:snapToGrid/>
      <w:spacing w:before="100" w:beforeAutospacing="1" w:after="100" w:afterAutospacing="1" w:line="240" w:lineRule="auto"/>
      <w:ind w:firstLine="0" w:firstLineChars="0"/>
      <w:jc w:val="left"/>
      <w:outlineLvl w:val="2"/>
    </w:pPr>
    <w:rPr>
      <w:rFonts w:ascii="宋体" w:hAnsi="宋体" w:cs="宋体"/>
      <w:b/>
      <w:bCs/>
      <w:kern w:val="0"/>
      <w:sz w:val="27"/>
      <w:szCs w:val="27"/>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toc 3"/>
    <w:basedOn w:val="1"/>
    <w:next w:val="1"/>
    <w:autoRedefine/>
    <w:semiHidden/>
    <w:unhideWhenUsed/>
    <w:qFormat/>
    <w:uiPriority w:val="39"/>
    <w:pPr>
      <w:widowControl/>
      <w:adjustRightInd/>
      <w:snapToGrid/>
      <w:spacing w:after="100" w:line="276" w:lineRule="auto"/>
      <w:ind w:left="440" w:firstLine="0" w:firstLineChars="0"/>
      <w:jc w:val="left"/>
    </w:pPr>
    <w:rPr>
      <w:rFonts w:asciiTheme="minorHAnsi" w:hAnsiTheme="minorHAnsi" w:eastAsiaTheme="minorEastAsia"/>
      <w:kern w:val="0"/>
      <w:sz w:val="22"/>
    </w:rPr>
  </w:style>
  <w:style w:type="paragraph" w:styleId="6">
    <w:name w:val="Balloon Text"/>
    <w:basedOn w:val="1"/>
    <w:link w:val="25"/>
    <w:semiHidden/>
    <w:unhideWhenUsed/>
    <w:qFormat/>
    <w:uiPriority w:val="99"/>
    <w:pPr>
      <w:spacing w:line="240" w:lineRule="auto"/>
    </w:pPr>
    <w:rPr>
      <w:sz w:val="18"/>
      <w:szCs w:val="18"/>
    </w:rPr>
  </w:style>
  <w:style w:type="paragraph" w:styleId="7">
    <w:name w:val="footer"/>
    <w:basedOn w:val="1"/>
    <w:link w:val="22"/>
    <w:unhideWhenUsed/>
    <w:qFormat/>
    <w:uiPriority w:val="99"/>
    <w:pPr>
      <w:tabs>
        <w:tab w:val="center" w:pos="4153"/>
        <w:tab w:val="right" w:pos="8306"/>
      </w:tabs>
      <w:spacing w:line="240" w:lineRule="auto"/>
      <w:jc w:val="left"/>
    </w:pPr>
    <w:rPr>
      <w:sz w:val="18"/>
      <w:szCs w:val="18"/>
    </w:rPr>
  </w:style>
  <w:style w:type="paragraph" w:styleId="8">
    <w:name w:val="header"/>
    <w:basedOn w:val="1"/>
    <w:link w:val="21"/>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9">
    <w:name w:val="toc 1"/>
    <w:basedOn w:val="1"/>
    <w:next w:val="1"/>
    <w:autoRedefine/>
    <w:unhideWhenUsed/>
    <w:qFormat/>
    <w:uiPriority w:val="39"/>
    <w:pPr>
      <w:widowControl/>
      <w:adjustRightInd/>
      <w:snapToGrid/>
      <w:spacing w:after="100" w:line="276" w:lineRule="auto"/>
      <w:ind w:firstLine="0" w:firstLineChars="0"/>
      <w:jc w:val="left"/>
    </w:pPr>
    <w:rPr>
      <w:rFonts w:asciiTheme="minorHAnsi" w:hAnsiTheme="minorHAnsi" w:eastAsiaTheme="minorEastAsia"/>
      <w:kern w:val="0"/>
      <w:sz w:val="22"/>
    </w:rPr>
  </w:style>
  <w:style w:type="paragraph" w:styleId="10">
    <w:name w:val="footnote text"/>
    <w:basedOn w:val="1"/>
    <w:link w:val="20"/>
    <w:semiHidden/>
    <w:unhideWhenUsed/>
    <w:qFormat/>
    <w:uiPriority w:val="99"/>
    <w:pPr>
      <w:overflowPunct w:val="0"/>
      <w:autoSpaceDE w:val="0"/>
      <w:autoSpaceDN w:val="0"/>
      <w:spacing w:line="288" w:lineRule="auto"/>
      <w:jc w:val="left"/>
    </w:pPr>
    <w:rPr>
      <w:sz w:val="18"/>
      <w:szCs w:val="18"/>
    </w:rPr>
  </w:style>
  <w:style w:type="paragraph" w:styleId="11">
    <w:name w:val="toc 2"/>
    <w:basedOn w:val="1"/>
    <w:next w:val="1"/>
    <w:autoRedefine/>
    <w:unhideWhenUsed/>
    <w:qFormat/>
    <w:uiPriority w:val="39"/>
    <w:pPr>
      <w:widowControl/>
      <w:adjustRightInd/>
      <w:snapToGrid/>
      <w:spacing w:after="100" w:line="276" w:lineRule="auto"/>
      <w:ind w:left="220" w:firstLine="0" w:firstLineChars="0"/>
      <w:jc w:val="left"/>
    </w:pPr>
    <w:rPr>
      <w:rFonts w:asciiTheme="minorHAnsi" w:hAnsiTheme="minorHAnsi" w:eastAsiaTheme="minorEastAsia"/>
      <w:kern w:val="0"/>
      <w:sz w:val="22"/>
    </w:rPr>
  </w:style>
  <w:style w:type="character" w:styleId="14">
    <w:name w:val="Strong"/>
    <w:basedOn w:val="13"/>
    <w:qFormat/>
    <w:uiPriority w:val="22"/>
    <w:rPr>
      <w:b/>
      <w:bCs/>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character" w:styleId="16">
    <w:name w:val="footnote reference"/>
    <w:basedOn w:val="13"/>
    <w:semiHidden/>
    <w:unhideWhenUsed/>
    <w:qFormat/>
    <w:uiPriority w:val="99"/>
    <w:rPr>
      <w:vertAlign w:val="superscript"/>
    </w:rPr>
  </w:style>
  <w:style w:type="character" w:customStyle="1" w:styleId="17">
    <w:name w:val="标题 3 Char"/>
    <w:basedOn w:val="13"/>
    <w:link w:val="4"/>
    <w:qFormat/>
    <w:uiPriority w:val="9"/>
    <w:rPr>
      <w:rFonts w:ascii="宋体" w:hAnsi="宋体" w:eastAsia="宋体" w:cs="宋体"/>
      <w:b/>
      <w:bCs/>
      <w:kern w:val="0"/>
      <w:sz w:val="27"/>
      <w:szCs w:val="27"/>
    </w:rPr>
  </w:style>
  <w:style w:type="character" w:customStyle="1" w:styleId="18">
    <w:name w:val="标题 2 Char"/>
    <w:basedOn w:val="13"/>
    <w:link w:val="3"/>
    <w:qFormat/>
    <w:uiPriority w:val="9"/>
    <w:rPr>
      <w:rFonts w:ascii="Times New Roman" w:hAnsi="Times New Roman" w:eastAsia="宋体"/>
      <w:b/>
      <w:color w:val="000000" w:themeColor="text1"/>
      <w:sz w:val="24"/>
      <w:szCs w:val="24"/>
      <w14:textFill>
        <w14:solidFill>
          <w14:schemeClr w14:val="tx1"/>
        </w14:solidFill>
      </w14:textFill>
    </w:rPr>
  </w:style>
  <w:style w:type="character" w:customStyle="1" w:styleId="19">
    <w:name w:val="标题 1 Char"/>
    <w:basedOn w:val="13"/>
    <w:link w:val="2"/>
    <w:qFormat/>
    <w:uiPriority w:val="9"/>
    <w:rPr>
      <w:rFonts w:ascii="Segoe UI" w:hAnsi="Segoe UI" w:eastAsia="宋体" w:cs="Segoe UI"/>
      <w:b/>
      <w:bCs/>
      <w:color w:val="0F1115"/>
      <w:kern w:val="0"/>
      <w:sz w:val="28"/>
      <w:szCs w:val="28"/>
      <w:shd w:val="clear" w:color="auto" w:fill="FFFFFF"/>
    </w:rPr>
  </w:style>
  <w:style w:type="character" w:customStyle="1" w:styleId="20">
    <w:name w:val="脚注文本 Char"/>
    <w:basedOn w:val="13"/>
    <w:link w:val="10"/>
    <w:semiHidden/>
    <w:qFormat/>
    <w:uiPriority w:val="99"/>
    <w:rPr>
      <w:rFonts w:ascii="Times New Roman" w:hAnsi="Times New Roman" w:eastAsia="宋体"/>
      <w:sz w:val="18"/>
      <w:szCs w:val="18"/>
    </w:rPr>
  </w:style>
  <w:style w:type="character" w:customStyle="1" w:styleId="21">
    <w:name w:val="页眉 Char"/>
    <w:basedOn w:val="13"/>
    <w:link w:val="8"/>
    <w:qFormat/>
    <w:uiPriority w:val="99"/>
    <w:rPr>
      <w:rFonts w:ascii="Times New Roman" w:hAnsi="Times New Roman" w:eastAsia="宋体"/>
      <w:sz w:val="18"/>
      <w:szCs w:val="18"/>
    </w:rPr>
  </w:style>
  <w:style w:type="character" w:customStyle="1" w:styleId="22">
    <w:name w:val="页脚 Char"/>
    <w:basedOn w:val="13"/>
    <w:link w:val="7"/>
    <w:qFormat/>
    <w:uiPriority w:val="99"/>
    <w:rPr>
      <w:rFonts w:ascii="Times New Roman" w:hAnsi="Times New Roman" w:eastAsia="宋体"/>
      <w:sz w:val="18"/>
      <w:szCs w:val="18"/>
    </w:rPr>
  </w:style>
  <w:style w:type="paragraph" w:customStyle="1" w:styleId="23">
    <w:name w:val="正文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4">
    <w:name w:val="TOC Heading"/>
    <w:basedOn w:val="2"/>
    <w:next w:val="1"/>
    <w:semiHidden/>
    <w:unhideWhenUsed/>
    <w:qFormat/>
    <w:uiPriority w:val="39"/>
    <w:pPr>
      <w:keepNext/>
      <w:keepLines/>
      <w:shd w:val="clear" w:color="auto" w:fill="auto"/>
      <w:spacing w:before="480" w:after="0" w:line="276" w:lineRule="auto"/>
      <w:ind w:firstLine="0"/>
      <w:outlineLvl w:val="9"/>
    </w:pPr>
    <w:rPr>
      <w:rFonts w:asciiTheme="majorHAnsi" w:hAnsiTheme="majorHAnsi" w:eastAsiaTheme="majorEastAsia" w:cstheme="majorBidi"/>
      <w:color w:val="376092" w:themeColor="accent1" w:themeShade="BF"/>
    </w:rPr>
  </w:style>
  <w:style w:type="character" w:customStyle="1" w:styleId="25">
    <w:name w:val="批注框文本 Char"/>
    <w:basedOn w:val="13"/>
    <w:link w:val="6"/>
    <w:semiHidden/>
    <w:qFormat/>
    <w:uiPriority w:val="99"/>
    <w:rPr>
      <w:rFonts w:ascii="Times New Roman" w:hAnsi="Times New Roman" w:eastAsia="宋体"/>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7</Pages>
  <Words>4737</Words>
  <Characters>4933</Characters>
  <Lines>48</Lines>
  <Paragraphs>13</Paragraphs>
  <TotalTime>352</TotalTime>
  <ScaleCrop>false</ScaleCrop>
  <LinksUpToDate>false</LinksUpToDate>
  <CharactersWithSpaces>4933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2025-11-06T15:40:00Z</dcterms:created>
  <dc:creator>Microsoft</dc:creator>
  <cp:lastModifiedBy> 画</cp:lastModifiedBy>
  <cp:lastPrinted>2025-11-06T21:44:00Z</cp:lastPrinted>
  <dcterms:modified xsi:type="dcterms:W3CDTF">2026-07-08T07:27:08Z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59C300B3B5F948F2BA78D470AF30EE62_13</vt:lpwstr>
  </property>
</Properties>
</file>