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BBFB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default" w:ascii="Times New Roman" w:hAnsi="Times New Roman" w:eastAsia="方正小标宋简体" w:cs="Times New Roman"/>
          <w:sz w:val="44"/>
          <w:szCs w:val="44"/>
        </w:rPr>
      </w:pPr>
      <w:bookmarkStart w:id="0" w:name="_Toc1898142427"/>
      <w:bookmarkStart w:id="33" w:name="_GoBack"/>
      <w:bookmarkEnd w:id="33"/>
      <w:r>
        <w:rPr>
          <w:rFonts w:hint="default" w:ascii="Times New Roman" w:hAnsi="Times New Roman" w:eastAsia="方正小标宋简体" w:cs="Times New Roman"/>
          <w:sz w:val="44"/>
          <w:szCs w:val="44"/>
        </w:rPr>
        <w:t>云浮市大力发展符合本土老人经济特点的“银发经济”路径研究</w:t>
      </w:r>
      <w:bookmarkEnd w:id="0"/>
    </w:p>
    <w:p w14:paraId="757A36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sz w:val="44"/>
          <w:szCs w:val="44"/>
        </w:rPr>
      </w:pPr>
    </w:p>
    <w:p w14:paraId="7E45E4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lang w:eastAsia="zh-CN"/>
        </w:rPr>
        <w:t>摘要：</w:t>
      </w:r>
      <w:r>
        <w:rPr>
          <w:rFonts w:hint="eastAsia" w:ascii="国标宋体" w:hAnsi="国标宋体" w:eastAsia="国标宋体" w:cs="国标宋体"/>
          <w:sz w:val="28"/>
          <w:szCs w:val="28"/>
          <w:lang w:eastAsia="zh-CN"/>
        </w:rPr>
        <w:t>本研究聚焦云浮市银发经济发展路径，结合国家及省相关政策，通过调研与数据分析，剖析其发展现状、问题并提出对策。现状显示，云浮市60岁以上老年人口占比</w:t>
      </w:r>
      <w:r>
        <w:rPr>
          <w:rFonts w:hint="default" w:ascii="国标宋体" w:hAnsi="国标宋体" w:eastAsia="国标宋体" w:cs="国标宋体"/>
          <w:sz w:val="28"/>
          <w:szCs w:val="28"/>
          <w:lang w:val="en-US" w:eastAsia="zh-CN"/>
        </w:rPr>
        <w:t>17.44</w:t>
      </w:r>
      <w:r>
        <w:rPr>
          <w:rFonts w:hint="eastAsia" w:ascii="国标宋体" w:hAnsi="国标宋体" w:eastAsia="国标宋体" w:cs="国标宋体"/>
          <w:sz w:val="28"/>
          <w:szCs w:val="28"/>
          <w:lang w:eastAsia="zh-CN"/>
        </w:rPr>
        <w:t>%</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人口老龄化凸显发展机遇</w:t>
      </w:r>
      <w:r>
        <w:rPr>
          <w:rFonts w:hint="eastAsia" w:ascii="国标宋体" w:hAnsi="国标宋体" w:eastAsia="国标宋体" w:cs="国标宋体"/>
          <w:sz w:val="28"/>
          <w:szCs w:val="28"/>
          <w:lang w:eastAsia="zh-CN"/>
        </w:rPr>
        <w:t>，消费需求向发展型转变，适老化产品及智慧养老服务潜力大，产业基础与政策环境为发展银发经济奠定基石，但存在供需错配、产业协同不足、数字鸿沟等问题。借鉴日本、成都、烟台等地经验，研究建议精准对接需求，构建分层服务体系、深化产业协同，培育特色产业集群、打造智慧养老生态及强化政策保障，以推动形成“生态+智慧+协同”的银发经济新模式，为我市应对老龄化提供新思路。</w:t>
      </w:r>
    </w:p>
    <w:p w14:paraId="6AC105E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lang w:eastAsia="zh-CN"/>
        </w:rPr>
        <w:t>关键词：</w:t>
      </w:r>
      <w:r>
        <w:rPr>
          <w:rFonts w:hint="eastAsia" w:ascii="国标宋体" w:hAnsi="国标宋体" w:eastAsia="国标宋体" w:cs="国标宋体"/>
          <w:sz w:val="28"/>
          <w:szCs w:val="28"/>
          <w:lang w:eastAsia="zh-CN"/>
        </w:rPr>
        <w:t>云浮市；银发经济；养老服务；产业协同；智慧养老</w:t>
      </w:r>
    </w:p>
    <w:p w14:paraId="271E46C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768314F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2390891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386B268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1369568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301C743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7C27774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1CE83D0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6E450A2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sz w:val="28"/>
          <w:szCs w:val="28"/>
          <w:lang w:eastAsia="zh-CN"/>
        </w:rPr>
      </w:pPr>
    </w:p>
    <w:p w14:paraId="37743E6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Times New Roman"/>
          <w:sz w:val="28"/>
          <w:szCs w:val="28"/>
          <w:lang w:eastAsia="zh-CN"/>
        </w:rPr>
      </w:pPr>
    </w:p>
    <w:p w14:paraId="5F2F33D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国标宋体" w:hAnsi="国标宋体" w:eastAsia="国标宋体" w:cs="国标宋体"/>
          <w:sz w:val="28"/>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upperRoman"/>
          <w:cols w:space="425" w:num="1"/>
          <w:docGrid w:type="lines" w:linePitch="312" w:charSpace="0"/>
        </w:sectPr>
      </w:pPr>
    </w:p>
    <w:p w14:paraId="78BB245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国标宋体" w:hAnsi="国标宋体" w:eastAsia="国标宋体" w:cs="国标宋体"/>
          <w:sz w:val="28"/>
          <w:szCs w:val="28"/>
        </w:rPr>
      </w:pPr>
      <w:r>
        <w:rPr>
          <w:rFonts w:hint="eastAsia" w:ascii="国标宋体" w:hAnsi="国标宋体" w:eastAsia="国标宋体" w:cs="国标宋体"/>
          <w:sz w:val="28"/>
          <w:szCs w:val="28"/>
        </w:rPr>
        <w:t>在积极应对人口老龄化国家战略背景下，云浮市紧扣《“十四五”国家老龄事业发展和养老服务体系规划》关于“推动老龄事业与产业协同发展”的部署，</w:t>
      </w:r>
      <w:r>
        <w:rPr>
          <w:rFonts w:hint="eastAsia" w:ascii="国标宋体" w:hAnsi="国标宋体" w:eastAsia="国标宋体" w:cs="国标宋体"/>
          <w:sz w:val="28"/>
          <w:szCs w:val="28"/>
          <w:lang w:val="en-US" w:eastAsia="zh-CN"/>
        </w:rPr>
        <w:t>并</w:t>
      </w:r>
      <w:r>
        <w:rPr>
          <w:rFonts w:hint="eastAsia" w:ascii="国标宋体" w:hAnsi="国标宋体" w:eastAsia="国标宋体" w:cs="国标宋体"/>
          <w:sz w:val="28"/>
          <w:szCs w:val="28"/>
        </w:rPr>
        <w:t>结合</w:t>
      </w:r>
      <w:bookmarkStart w:id="1" w:name="OLE_LINK1"/>
      <w:r>
        <w:rPr>
          <w:rFonts w:hint="eastAsia" w:ascii="国标宋体" w:hAnsi="国标宋体" w:eastAsia="国标宋体" w:cs="国标宋体"/>
          <w:sz w:val="28"/>
          <w:szCs w:val="28"/>
        </w:rPr>
        <w:t>《广东省促进银发经济高质量发展增进老年人福祉实施方案》</w:t>
      </w:r>
      <w:bookmarkEnd w:id="1"/>
      <w:r>
        <w:rPr>
          <w:rFonts w:hint="eastAsia" w:ascii="国标宋体" w:hAnsi="国标宋体" w:eastAsia="国标宋体" w:cs="国标宋体"/>
          <w:sz w:val="28"/>
          <w:szCs w:val="28"/>
        </w:rPr>
        <w:t>中“打造粤港澳大湾区康养旅居目的地”的定位，依托自身资源禀赋及石材资源、南药资源等，谋求特色发展。这些政策从国家战略层面明确了银发经济的地位，从政策角度为云浮发展医疗、旅游、生产制造等资源提供了保障，2025年“云浮市民政会议”上明确提出“助餐上门、适老化改造、老年产品供给”等方面的扶持，形成了“国家政策—省级政策—市级实践”的传导机制。2025年4月至</w:t>
      </w:r>
      <w:r>
        <w:rPr>
          <w:rFonts w:hint="eastAsia" w:ascii="国标宋体" w:hAnsi="国标宋体" w:eastAsia="国标宋体" w:cs="国标宋体"/>
          <w:sz w:val="28"/>
          <w:szCs w:val="28"/>
          <w:lang w:val="en-US" w:eastAsia="zh-CN"/>
        </w:rPr>
        <w:t>11</w:t>
      </w:r>
      <w:r>
        <w:rPr>
          <w:rFonts w:hint="eastAsia" w:ascii="国标宋体" w:hAnsi="国标宋体" w:eastAsia="国标宋体" w:cs="国标宋体"/>
          <w:sz w:val="28"/>
          <w:szCs w:val="28"/>
        </w:rPr>
        <w:t>月，项目组赴云浮市进行城乡分阶调研，发放《老年人消费需求问卷》1500份，回收1356份，访谈养老机构负责人、老年大学学员等80余人，获得丰富的第一手资料，为调研报告提供了数据支持。</w:t>
      </w:r>
    </w:p>
    <w:p w14:paraId="2D415CC8">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eastAsia" w:ascii="国标黑体" w:hAnsi="国标黑体" w:eastAsia="国标黑体" w:cs="国标黑体"/>
          <w:b/>
          <w:bCs/>
          <w:sz w:val="30"/>
          <w:szCs w:val="30"/>
          <w:lang w:val="en-US" w:eastAsia="zh-CN"/>
        </w:rPr>
      </w:pPr>
      <w:bookmarkStart w:id="2" w:name="_Toc710663432"/>
      <w:r>
        <w:rPr>
          <w:rFonts w:hint="eastAsia" w:ascii="国标黑体" w:hAnsi="国标黑体" w:eastAsia="国标黑体" w:cs="国标黑体"/>
          <w:b/>
          <w:bCs/>
          <w:sz w:val="30"/>
          <w:szCs w:val="30"/>
          <w:lang w:val="en-US" w:eastAsia="zh-CN"/>
        </w:rPr>
        <w:t>一、云浮市银发经济发展现状分析</w:t>
      </w:r>
      <w:bookmarkEnd w:id="2"/>
    </w:p>
    <w:p w14:paraId="7AF01747">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1"/>
        <w:rPr>
          <w:rFonts w:hint="eastAsia" w:ascii="国标黑体" w:hAnsi="国标黑体" w:eastAsia="国标黑体" w:cs="国标黑体"/>
          <w:b/>
          <w:bCs/>
          <w:sz w:val="30"/>
          <w:szCs w:val="30"/>
          <w:lang w:val="en-US" w:eastAsia="zh-CN"/>
        </w:rPr>
      </w:pPr>
      <w:bookmarkStart w:id="3" w:name="_Toc400196280"/>
      <w:r>
        <w:rPr>
          <w:rFonts w:hint="eastAsia" w:ascii="国标黑体" w:hAnsi="国标黑体" w:eastAsia="国标黑体" w:cs="国标黑体"/>
          <w:b/>
          <w:bCs/>
          <w:sz w:val="30"/>
          <w:szCs w:val="30"/>
          <w:lang w:val="en-US" w:eastAsia="zh-CN"/>
        </w:rPr>
        <w:t>（一）人口结构与老龄化特征凸显发展机遇</w:t>
      </w:r>
      <w:bookmarkEnd w:id="3"/>
    </w:p>
    <w:p w14:paraId="0462A4B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根据云浮市第七次人口普查数据，全市60岁以上老年人口达</w:t>
      </w:r>
      <w:r>
        <w:rPr>
          <w:rFonts w:hint="eastAsia" w:ascii="国标宋体" w:hAnsi="国标宋体" w:eastAsia="国标宋体" w:cs="国标宋体"/>
          <w:sz w:val="28"/>
          <w:szCs w:val="28"/>
          <w:lang w:val="en-US" w:eastAsia="zh-CN"/>
        </w:rPr>
        <w:t>41.56</w:t>
      </w:r>
      <w:r>
        <w:rPr>
          <w:rFonts w:hint="default" w:ascii="国标宋体" w:hAnsi="国标宋体" w:eastAsia="国标宋体" w:cs="国标宋体"/>
          <w:sz w:val="28"/>
          <w:szCs w:val="28"/>
          <w:lang w:val="en-US" w:eastAsia="zh-CN"/>
        </w:rPr>
        <w:t>万人，占常住人口</w:t>
      </w:r>
      <w:r>
        <w:rPr>
          <w:rFonts w:hint="eastAsia" w:ascii="国标宋体" w:hAnsi="国标宋体" w:eastAsia="国标宋体" w:cs="国标宋体"/>
          <w:sz w:val="28"/>
          <w:szCs w:val="28"/>
          <w:lang w:val="en-US" w:eastAsia="zh-CN"/>
        </w:rPr>
        <w:t>17.44</w:t>
      </w:r>
      <w:r>
        <w:rPr>
          <w:rFonts w:hint="default" w:ascii="国标宋体" w:hAnsi="国标宋体" w:eastAsia="国标宋体" w:cs="国标宋体"/>
          <w:sz w:val="28"/>
          <w:szCs w:val="28"/>
          <w:lang w:val="en-US" w:eastAsia="zh-CN"/>
        </w:rPr>
        <w:t>%，其中60-6</w:t>
      </w:r>
      <w:r>
        <w:rPr>
          <w:rFonts w:hint="eastAsia" w:ascii="国标宋体" w:hAnsi="国标宋体" w:eastAsia="国标宋体" w:cs="国标宋体"/>
          <w:sz w:val="28"/>
          <w:szCs w:val="28"/>
          <w:lang w:val="en-US" w:eastAsia="zh-CN"/>
        </w:rPr>
        <w:t>5</w:t>
      </w:r>
      <w:r>
        <w:rPr>
          <w:rFonts w:hint="default" w:ascii="国标宋体" w:hAnsi="国标宋体" w:eastAsia="国标宋体" w:cs="国标宋体"/>
          <w:sz w:val="28"/>
          <w:szCs w:val="28"/>
          <w:lang w:val="en-US" w:eastAsia="zh-CN"/>
        </w:rPr>
        <w:t>岁“新老人”群体占比</w:t>
      </w:r>
      <w:r>
        <w:rPr>
          <w:rFonts w:hint="eastAsia" w:ascii="国标宋体" w:hAnsi="国标宋体" w:eastAsia="国标宋体" w:cs="国标宋体"/>
          <w:sz w:val="28"/>
          <w:szCs w:val="28"/>
          <w:lang w:val="en-US" w:eastAsia="zh-CN"/>
        </w:rPr>
        <w:t>达87.5%</w:t>
      </w:r>
      <w:r>
        <w:rPr>
          <w:rFonts w:hint="default" w:ascii="国标宋体" w:hAnsi="国标宋体" w:eastAsia="国标宋体" w:cs="国标宋体"/>
          <w:sz w:val="28"/>
          <w:szCs w:val="28"/>
          <w:lang w:val="en-US" w:eastAsia="zh-CN"/>
        </w:rPr>
        <w:t>，呈现“轻龄化、消费潜力大”特征。</w:t>
      </w:r>
      <w:r>
        <w:rPr>
          <w:rFonts w:hint="eastAsia" w:ascii="国标宋体" w:hAnsi="国标宋体" w:eastAsia="国标宋体" w:cs="国标宋体"/>
          <w:sz w:val="28"/>
          <w:szCs w:val="28"/>
          <w:lang w:val="en-US" w:eastAsia="zh-CN"/>
        </w:rPr>
        <w:t>另外，</w:t>
      </w:r>
      <w:r>
        <w:rPr>
          <w:rFonts w:hint="default" w:ascii="国标宋体" w:hAnsi="国标宋体" w:eastAsia="国标宋体" w:cs="国标宋体"/>
          <w:sz w:val="28"/>
          <w:szCs w:val="28"/>
          <w:lang w:val="en-US" w:eastAsia="zh-CN"/>
        </w:rPr>
        <w:t>5个县（市、区）65岁及以上老年人口比重均超过7%，1个县（市、区）65岁及以上老年人口比重超过14%</w:t>
      </w:r>
      <w:r>
        <w:rPr>
          <w:rFonts w:hint="eastAsia" w:ascii="国标宋体" w:hAnsi="国标宋体" w:eastAsia="国标宋体" w:cs="国标宋体"/>
          <w:sz w:val="28"/>
          <w:szCs w:val="28"/>
          <w:lang w:val="en-US" w:eastAsia="zh-CN"/>
        </w:rPr>
        <w:t>，反映老龄化并非个别区域的特殊现象，各区县均已跨过轻度老龄化门槛，在区域层面的“全覆盖”特征，为发展银发经济奠定了市场基础。</w:t>
      </w:r>
      <w:r>
        <w:rPr>
          <w:rFonts w:hint="default" w:ascii="国标宋体" w:hAnsi="国标宋体" w:eastAsia="国标宋体" w:cs="国标宋体"/>
          <w:sz w:val="28"/>
          <w:szCs w:val="28"/>
          <w:lang w:val="en-US" w:eastAsia="zh-CN"/>
        </w:rPr>
        <w:t>从地域分布看，罗定市老年人口超过</w:t>
      </w:r>
      <w:r>
        <w:rPr>
          <w:rFonts w:hint="eastAsia" w:ascii="国标宋体" w:hAnsi="国标宋体" w:eastAsia="国标宋体" w:cs="国标宋体"/>
          <w:sz w:val="28"/>
          <w:szCs w:val="28"/>
          <w:lang w:val="en-US" w:eastAsia="zh-CN"/>
        </w:rPr>
        <w:t>15</w:t>
      </w:r>
      <w:r>
        <w:rPr>
          <w:rFonts w:hint="default" w:ascii="国标宋体" w:hAnsi="国标宋体" w:eastAsia="国标宋体" w:cs="国标宋体"/>
          <w:sz w:val="28"/>
          <w:szCs w:val="28"/>
          <w:lang w:val="en-US" w:eastAsia="zh-CN"/>
        </w:rPr>
        <w:t>万，形成集中消费市场；新兴县、郁南县依托禅宗文化、生态资源，具备发展康养旅游的天然优势。调研显示，老年大学学员月均文化娱乐支出达1200元，高出普通老年群体60%，表明轻龄老人对教育、社交、文旅服务的需求正从“生存型”向“发展型”转变。</w:t>
      </w:r>
    </w:p>
    <w:p w14:paraId="684C28B7">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表1 各县（市、区）老年人口</w:t>
      </w:r>
    </w:p>
    <w:p w14:paraId="33A54745">
      <w:pPr>
        <w:keepNext w:val="0"/>
        <w:keepLines w:val="0"/>
        <w:pageBreakBefore w:val="0"/>
        <w:widowControl w:val="0"/>
        <w:kinsoku/>
        <w:wordWrap/>
        <w:overflowPunct/>
        <w:topLinePunct w:val="0"/>
        <w:autoSpaceDE/>
        <w:autoSpaceDN/>
        <w:bidi w:val="0"/>
        <w:adjustRightInd/>
        <w:snapToGrid/>
        <w:spacing w:line="560" w:lineRule="exact"/>
        <w:ind w:firstLine="0" w:firstLineChars="0"/>
        <w:jc w:val="right"/>
        <w:textAlignment w:val="auto"/>
        <w:outlineLvl w:val="2"/>
        <w:rPr>
          <w:rFonts w:hint="default" w:ascii="宋体" w:hAnsi="宋体" w:eastAsia="宋体" w:cs="宋体"/>
          <w:b w:val="0"/>
          <w:bCs w:val="0"/>
          <w:sz w:val="21"/>
          <w:szCs w:val="21"/>
          <w:lang w:val="en-US" w:eastAsia="zh-CN"/>
        </w:rPr>
      </w:pPr>
      <w:bookmarkStart w:id="4" w:name="_Toc1197405319"/>
      <w:r>
        <w:rPr>
          <w:rFonts w:hint="eastAsia" w:ascii="宋体" w:hAnsi="宋体" w:eastAsia="宋体" w:cs="宋体"/>
          <w:b w:val="0"/>
          <w:bCs w:val="0"/>
          <w:sz w:val="21"/>
          <w:szCs w:val="21"/>
          <w:lang w:val="en-US" w:eastAsia="zh-CN"/>
        </w:rPr>
        <w:t>单位：万人、%</w:t>
      </w:r>
      <w:bookmarkEnd w:id="4"/>
    </w:p>
    <w:tbl>
      <w:tblPr>
        <w:tblStyle w:val="4"/>
        <w:tblW w:w="8421" w:type="dxa"/>
        <w:tblInd w:w="0" w:type="dxa"/>
        <w:shd w:val="clear" w:color="auto" w:fill="auto"/>
        <w:tblLayout w:type="fixed"/>
        <w:tblCellMar>
          <w:top w:w="0" w:type="dxa"/>
          <w:left w:w="0" w:type="dxa"/>
          <w:bottom w:w="0" w:type="dxa"/>
          <w:right w:w="0" w:type="dxa"/>
        </w:tblCellMar>
      </w:tblPr>
      <w:tblGrid>
        <w:gridCol w:w="545"/>
        <w:gridCol w:w="1310"/>
        <w:gridCol w:w="1884"/>
        <w:gridCol w:w="1727"/>
        <w:gridCol w:w="1380"/>
        <w:gridCol w:w="1575"/>
      </w:tblGrid>
      <w:tr w14:paraId="580AE994">
        <w:tblPrEx>
          <w:shd w:val="clear" w:color="auto" w:fill="auto"/>
          <w:tblCellMar>
            <w:top w:w="0" w:type="dxa"/>
            <w:left w:w="0" w:type="dxa"/>
            <w:bottom w:w="0" w:type="dxa"/>
            <w:right w:w="0" w:type="dxa"/>
          </w:tblCellMar>
        </w:tblPrEx>
        <w:trPr>
          <w:trHeight w:val="500" w:hRule="atLeast"/>
        </w:trPr>
        <w:tc>
          <w:tcPr>
            <w:tcW w:w="545" w:type="dxa"/>
            <w:vMerge w:val="restart"/>
            <w:tcBorders>
              <w:top w:val="single" w:color="auto" w:sz="12" w:space="0"/>
              <w:left w:val="nil"/>
              <w:bottom w:val="single" w:color="auto" w:sz="4" w:space="0"/>
              <w:right w:val="single" w:color="auto" w:sz="8" w:space="0"/>
            </w:tcBorders>
            <w:shd w:val="clear" w:color="auto" w:fill="auto"/>
            <w:tcMar>
              <w:top w:w="15" w:type="dxa"/>
              <w:left w:w="15" w:type="dxa"/>
              <w:right w:w="15" w:type="dxa"/>
            </w:tcMar>
            <w:vAlign w:val="center"/>
          </w:tcPr>
          <w:p w14:paraId="53ECDF5D">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21"/>
                <w:szCs w:val="21"/>
                <w:u w:val="none"/>
              </w:rPr>
            </w:pPr>
            <w:r>
              <w:rPr>
                <w:rFonts w:hint="eastAsia" w:asciiTheme="majorEastAsia" w:hAnsiTheme="majorEastAsia" w:eastAsiaTheme="majorEastAsia" w:cstheme="majorEastAsia"/>
                <w:b/>
                <w:bCs/>
                <w:i w:val="0"/>
                <w:color w:val="000000"/>
                <w:kern w:val="0"/>
                <w:sz w:val="21"/>
                <w:szCs w:val="21"/>
                <w:u w:val="none"/>
                <w:lang w:val="en-US" w:eastAsia="zh-CN" w:bidi="ar"/>
              </w:rPr>
              <w:t>地区</w:t>
            </w:r>
          </w:p>
        </w:tc>
        <w:tc>
          <w:tcPr>
            <w:tcW w:w="1310" w:type="dxa"/>
            <w:vMerge w:val="restart"/>
            <w:tcBorders>
              <w:top w:val="single" w:color="auto" w:sz="12" w:space="0"/>
              <w:left w:val="single" w:color="auto" w:sz="8" w:space="0"/>
              <w:bottom w:val="single" w:color="auto" w:sz="4" w:space="0"/>
              <w:right w:val="single" w:color="auto" w:sz="8" w:space="0"/>
            </w:tcBorders>
            <w:shd w:val="clear" w:color="auto" w:fill="auto"/>
            <w:tcMar>
              <w:top w:w="15" w:type="dxa"/>
              <w:left w:w="15" w:type="dxa"/>
              <w:right w:w="15" w:type="dxa"/>
            </w:tcMar>
            <w:vAlign w:val="center"/>
          </w:tcPr>
          <w:p w14:paraId="50B50028">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21"/>
                <w:szCs w:val="21"/>
                <w:u w:val="none"/>
              </w:rPr>
            </w:pPr>
            <w:r>
              <w:rPr>
                <w:rFonts w:hint="eastAsia" w:asciiTheme="majorEastAsia" w:hAnsiTheme="majorEastAsia" w:eastAsiaTheme="majorEastAsia" w:cstheme="majorEastAsia"/>
                <w:b/>
                <w:bCs/>
                <w:i w:val="0"/>
                <w:color w:val="000000"/>
                <w:kern w:val="0"/>
                <w:sz w:val="21"/>
                <w:szCs w:val="21"/>
                <w:u w:val="none"/>
                <w:lang w:val="en-US" w:eastAsia="zh-CN" w:bidi="ar"/>
              </w:rPr>
              <w:t>常住人口数</w:t>
            </w:r>
          </w:p>
        </w:tc>
        <w:tc>
          <w:tcPr>
            <w:tcW w:w="1884" w:type="dxa"/>
            <w:vMerge w:val="restart"/>
            <w:tcBorders>
              <w:top w:val="single" w:color="auto" w:sz="12" w:space="0"/>
              <w:left w:val="single" w:color="auto" w:sz="8" w:space="0"/>
              <w:bottom w:val="single" w:color="auto" w:sz="4" w:space="0"/>
              <w:right w:val="single" w:color="auto" w:sz="8" w:space="0"/>
            </w:tcBorders>
            <w:shd w:val="clear" w:color="auto" w:fill="auto"/>
            <w:tcMar>
              <w:top w:w="15" w:type="dxa"/>
              <w:left w:w="15" w:type="dxa"/>
              <w:right w:w="15" w:type="dxa"/>
            </w:tcMar>
            <w:vAlign w:val="center"/>
          </w:tcPr>
          <w:p w14:paraId="4A63504D">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21"/>
                <w:szCs w:val="21"/>
                <w:u w:val="none"/>
              </w:rPr>
            </w:pPr>
            <w:r>
              <w:rPr>
                <w:rFonts w:hint="eastAsia" w:asciiTheme="majorEastAsia" w:hAnsiTheme="majorEastAsia" w:eastAsiaTheme="majorEastAsia" w:cstheme="majorEastAsia"/>
                <w:b/>
                <w:bCs/>
                <w:i w:val="0"/>
                <w:color w:val="000000"/>
                <w:kern w:val="0"/>
                <w:sz w:val="21"/>
                <w:szCs w:val="21"/>
                <w:u w:val="none"/>
                <w:lang w:val="en-US" w:eastAsia="zh-CN" w:bidi="ar"/>
              </w:rPr>
              <w:t>60岁以上人口数</w:t>
            </w:r>
          </w:p>
        </w:tc>
        <w:tc>
          <w:tcPr>
            <w:tcW w:w="1727" w:type="dxa"/>
            <w:vMerge w:val="restart"/>
            <w:tcBorders>
              <w:top w:val="single" w:color="auto" w:sz="12" w:space="0"/>
              <w:left w:val="single" w:color="auto" w:sz="8" w:space="0"/>
              <w:bottom w:val="single" w:color="auto" w:sz="4" w:space="0"/>
              <w:right w:val="nil"/>
            </w:tcBorders>
            <w:shd w:val="clear" w:color="auto" w:fill="auto"/>
            <w:tcMar>
              <w:top w:w="15" w:type="dxa"/>
              <w:left w:w="15" w:type="dxa"/>
              <w:right w:w="15" w:type="dxa"/>
            </w:tcMar>
            <w:vAlign w:val="center"/>
          </w:tcPr>
          <w:p w14:paraId="4DC2A90D">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21"/>
                <w:szCs w:val="21"/>
                <w:u w:val="none"/>
              </w:rPr>
            </w:pPr>
            <w:r>
              <w:rPr>
                <w:rFonts w:hint="eastAsia" w:asciiTheme="majorEastAsia" w:hAnsiTheme="majorEastAsia" w:eastAsiaTheme="majorEastAsia" w:cstheme="majorEastAsia"/>
                <w:b/>
                <w:bCs/>
                <w:i w:val="0"/>
                <w:color w:val="000000"/>
                <w:kern w:val="0"/>
                <w:sz w:val="21"/>
                <w:szCs w:val="21"/>
                <w:u w:val="none"/>
                <w:lang w:val="en-US" w:eastAsia="zh-CN" w:bidi="ar"/>
              </w:rPr>
              <w:t>60岁以上比重</w:t>
            </w:r>
          </w:p>
        </w:tc>
        <w:tc>
          <w:tcPr>
            <w:tcW w:w="2955" w:type="dxa"/>
            <w:gridSpan w:val="2"/>
            <w:tcBorders>
              <w:top w:val="single" w:color="auto" w:sz="12" w:space="0"/>
              <w:left w:val="nil"/>
              <w:bottom w:val="single" w:color="auto" w:sz="4" w:space="0"/>
              <w:right w:val="nil"/>
            </w:tcBorders>
            <w:shd w:val="clear" w:color="auto" w:fill="auto"/>
            <w:tcMar>
              <w:top w:w="15" w:type="dxa"/>
              <w:left w:w="15" w:type="dxa"/>
              <w:right w:w="15" w:type="dxa"/>
            </w:tcMar>
            <w:vAlign w:val="center"/>
          </w:tcPr>
          <w:p w14:paraId="5558FA13">
            <w:pPr>
              <w:rPr>
                <w:rFonts w:hint="eastAsia" w:asciiTheme="majorEastAsia" w:hAnsiTheme="majorEastAsia" w:eastAsiaTheme="majorEastAsia" w:cstheme="majorEastAsia"/>
                <w:b/>
                <w:bCs/>
                <w:i w:val="0"/>
                <w:color w:val="000000"/>
                <w:sz w:val="21"/>
                <w:szCs w:val="21"/>
                <w:u w:val="none"/>
              </w:rPr>
            </w:pPr>
          </w:p>
        </w:tc>
      </w:tr>
      <w:tr w14:paraId="69C0E6EA">
        <w:tblPrEx>
          <w:shd w:val="clear" w:color="auto" w:fill="auto"/>
          <w:tblCellMar>
            <w:top w:w="0" w:type="dxa"/>
            <w:left w:w="0" w:type="dxa"/>
            <w:bottom w:w="0" w:type="dxa"/>
            <w:right w:w="0" w:type="dxa"/>
          </w:tblCellMar>
        </w:tblPrEx>
        <w:trPr>
          <w:trHeight w:val="580" w:hRule="atLeast"/>
        </w:trPr>
        <w:tc>
          <w:tcPr>
            <w:tcW w:w="545" w:type="dxa"/>
            <w:vMerge w:val="continue"/>
            <w:tcBorders>
              <w:top w:val="single" w:color="auto" w:sz="4" w:space="0"/>
              <w:left w:val="nil"/>
              <w:bottom w:val="single" w:color="auto" w:sz="4" w:space="0"/>
              <w:right w:val="single" w:color="auto" w:sz="8" w:space="0"/>
            </w:tcBorders>
            <w:shd w:val="clear" w:color="auto" w:fill="auto"/>
            <w:tcMar>
              <w:top w:w="15" w:type="dxa"/>
              <w:left w:w="15" w:type="dxa"/>
              <w:right w:w="15" w:type="dxa"/>
            </w:tcMar>
            <w:vAlign w:val="center"/>
          </w:tcPr>
          <w:p w14:paraId="5A3BD413">
            <w:pPr>
              <w:jc w:val="center"/>
              <w:rPr>
                <w:rFonts w:hint="eastAsia" w:asciiTheme="majorEastAsia" w:hAnsiTheme="majorEastAsia" w:eastAsiaTheme="majorEastAsia" w:cstheme="majorEastAsia"/>
                <w:b/>
                <w:bCs/>
                <w:i w:val="0"/>
                <w:color w:val="000000"/>
                <w:sz w:val="21"/>
                <w:szCs w:val="21"/>
                <w:u w:val="none"/>
              </w:rPr>
            </w:pPr>
          </w:p>
        </w:tc>
        <w:tc>
          <w:tcPr>
            <w:tcW w:w="1310" w:type="dxa"/>
            <w:vMerge w:val="continue"/>
            <w:tcBorders>
              <w:top w:val="single" w:color="auto" w:sz="4" w:space="0"/>
              <w:left w:val="single" w:color="auto" w:sz="8" w:space="0"/>
              <w:bottom w:val="single" w:color="auto" w:sz="4" w:space="0"/>
              <w:right w:val="single" w:color="auto" w:sz="8" w:space="0"/>
            </w:tcBorders>
            <w:shd w:val="clear" w:color="auto" w:fill="auto"/>
            <w:tcMar>
              <w:top w:w="15" w:type="dxa"/>
              <w:left w:w="15" w:type="dxa"/>
              <w:right w:w="15" w:type="dxa"/>
            </w:tcMar>
            <w:vAlign w:val="center"/>
          </w:tcPr>
          <w:p w14:paraId="1B731EB3">
            <w:pPr>
              <w:jc w:val="center"/>
              <w:rPr>
                <w:rFonts w:hint="eastAsia" w:asciiTheme="majorEastAsia" w:hAnsiTheme="majorEastAsia" w:eastAsiaTheme="majorEastAsia" w:cstheme="majorEastAsia"/>
                <w:b/>
                <w:bCs/>
                <w:i w:val="0"/>
                <w:color w:val="000000"/>
                <w:sz w:val="21"/>
                <w:szCs w:val="21"/>
                <w:u w:val="none"/>
              </w:rPr>
            </w:pPr>
          </w:p>
        </w:tc>
        <w:tc>
          <w:tcPr>
            <w:tcW w:w="1884" w:type="dxa"/>
            <w:vMerge w:val="continue"/>
            <w:tcBorders>
              <w:top w:val="single" w:color="auto" w:sz="4" w:space="0"/>
              <w:left w:val="single" w:color="auto" w:sz="8" w:space="0"/>
              <w:bottom w:val="single" w:color="auto" w:sz="4" w:space="0"/>
              <w:right w:val="single" w:color="auto" w:sz="8" w:space="0"/>
            </w:tcBorders>
            <w:shd w:val="clear" w:color="auto" w:fill="auto"/>
            <w:tcMar>
              <w:top w:w="15" w:type="dxa"/>
              <w:left w:w="15" w:type="dxa"/>
              <w:right w:w="15" w:type="dxa"/>
            </w:tcMar>
            <w:vAlign w:val="center"/>
          </w:tcPr>
          <w:p w14:paraId="724C1918">
            <w:pPr>
              <w:jc w:val="center"/>
              <w:rPr>
                <w:rFonts w:hint="eastAsia" w:asciiTheme="majorEastAsia" w:hAnsiTheme="majorEastAsia" w:eastAsiaTheme="majorEastAsia" w:cstheme="majorEastAsia"/>
                <w:b/>
                <w:bCs/>
                <w:i w:val="0"/>
                <w:color w:val="000000"/>
                <w:sz w:val="21"/>
                <w:szCs w:val="21"/>
                <w:u w:val="none"/>
              </w:rPr>
            </w:pPr>
          </w:p>
        </w:tc>
        <w:tc>
          <w:tcPr>
            <w:tcW w:w="1727" w:type="dxa"/>
            <w:vMerge w:val="continue"/>
            <w:tcBorders>
              <w:top w:val="single" w:color="auto" w:sz="4" w:space="0"/>
              <w:left w:val="single" w:color="auto" w:sz="8" w:space="0"/>
              <w:bottom w:val="single" w:color="auto" w:sz="4" w:space="0"/>
              <w:right w:val="single" w:color="auto" w:sz="8" w:space="0"/>
            </w:tcBorders>
            <w:shd w:val="clear" w:color="auto" w:fill="auto"/>
            <w:tcMar>
              <w:top w:w="15" w:type="dxa"/>
              <w:left w:w="15" w:type="dxa"/>
              <w:right w:w="15" w:type="dxa"/>
            </w:tcMar>
            <w:vAlign w:val="center"/>
          </w:tcPr>
          <w:p w14:paraId="4AA8DDA8">
            <w:pPr>
              <w:jc w:val="center"/>
              <w:rPr>
                <w:rFonts w:hint="eastAsia" w:asciiTheme="majorEastAsia" w:hAnsiTheme="majorEastAsia" w:eastAsiaTheme="majorEastAsia" w:cstheme="majorEastAsia"/>
                <w:b/>
                <w:bCs/>
                <w:i w:val="0"/>
                <w:color w:val="000000"/>
                <w:sz w:val="21"/>
                <w:szCs w:val="21"/>
                <w:u w:val="none"/>
              </w:rPr>
            </w:pPr>
          </w:p>
        </w:tc>
        <w:tc>
          <w:tcPr>
            <w:tcW w:w="1380" w:type="dxa"/>
            <w:tcBorders>
              <w:top w:val="single" w:color="auto" w:sz="4" w:space="0"/>
              <w:left w:val="single" w:color="auto" w:sz="8" w:space="0"/>
              <w:bottom w:val="single" w:color="auto" w:sz="4" w:space="0"/>
              <w:right w:val="nil"/>
            </w:tcBorders>
            <w:shd w:val="clear" w:color="auto" w:fill="auto"/>
            <w:tcMar>
              <w:top w:w="15" w:type="dxa"/>
              <w:left w:w="15" w:type="dxa"/>
              <w:right w:w="15" w:type="dxa"/>
            </w:tcMar>
            <w:vAlign w:val="center"/>
          </w:tcPr>
          <w:p w14:paraId="2A27A231">
            <w:pPr>
              <w:keepNext w:val="0"/>
              <w:keepLines w:val="0"/>
              <w:widowControl/>
              <w:suppressLineNumbers w:val="0"/>
              <w:jc w:val="left"/>
              <w:textAlignment w:val="center"/>
              <w:rPr>
                <w:rFonts w:hint="eastAsia" w:asciiTheme="majorEastAsia" w:hAnsiTheme="majorEastAsia" w:eastAsiaTheme="majorEastAsia" w:cstheme="majorEastAsia"/>
                <w:b/>
                <w:bCs/>
                <w:i w:val="0"/>
                <w:color w:val="000000"/>
                <w:kern w:val="0"/>
                <w:sz w:val="21"/>
                <w:szCs w:val="21"/>
                <w:u w:val="none"/>
                <w:lang w:val="en-US" w:eastAsia="zh-CN" w:bidi="ar"/>
              </w:rPr>
            </w:pPr>
            <w:r>
              <w:rPr>
                <w:rFonts w:hint="eastAsia" w:asciiTheme="majorEastAsia" w:hAnsiTheme="majorEastAsia" w:eastAsiaTheme="majorEastAsia" w:cstheme="majorEastAsia"/>
                <w:b/>
                <w:bCs/>
                <w:i w:val="0"/>
                <w:color w:val="000000"/>
                <w:kern w:val="0"/>
                <w:sz w:val="21"/>
                <w:szCs w:val="21"/>
                <w:u w:val="none"/>
                <w:lang w:val="en-US" w:eastAsia="zh-CN" w:bidi="ar"/>
              </w:rPr>
              <w:t>其中：</w:t>
            </w:r>
          </w:p>
          <w:p w14:paraId="5D61A41F">
            <w:pPr>
              <w:keepNext w:val="0"/>
              <w:keepLines w:val="0"/>
              <w:widowControl/>
              <w:suppressLineNumbers w:val="0"/>
              <w:jc w:val="left"/>
              <w:textAlignment w:val="center"/>
              <w:rPr>
                <w:rFonts w:hint="eastAsia" w:asciiTheme="majorEastAsia" w:hAnsiTheme="majorEastAsia" w:eastAsiaTheme="majorEastAsia" w:cstheme="majorEastAsia"/>
                <w:b/>
                <w:bCs/>
                <w:i w:val="0"/>
                <w:color w:val="000000"/>
                <w:sz w:val="21"/>
                <w:szCs w:val="21"/>
                <w:u w:val="none"/>
              </w:rPr>
            </w:pPr>
            <w:r>
              <w:rPr>
                <w:rFonts w:hint="eastAsia" w:asciiTheme="majorEastAsia" w:hAnsiTheme="majorEastAsia" w:eastAsiaTheme="majorEastAsia" w:cstheme="majorEastAsia"/>
                <w:b/>
                <w:bCs/>
                <w:i w:val="0"/>
                <w:color w:val="000000"/>
                <w:kern w:val="0"/>
                <w:sz w:val="21"/>
                <w:szCs w:val="21"/>
                <w:u w:val="none"/>
                <w:lang w:val="en-US" w:eastAsia="zh-CN" w:bidi="ar"/>
              </w:rPr>
              <w:t>60-65岁比重</w:t>
            </w:r>
          </w:p>
        </w:tc>
        <w:tc>
          <w:tcPr>
            <w:tcW w:w="1575" w:type="dxa"/>
            <w:tcBorders>
              <w:top w:val="single" w:color="auto" w:sz="4" w:space="0"/>
              <w:left w:val="nil"/>
              <w:bottom w:val="single" w:color="auto" w:sz="4" w:space="0"/>
              <w:right w:val="nil"/>
            </w:tcBorders>
            <w:shd w:val="clear" w:color="auto" w:fill="auto"/>
            <w:tcMar>
              <w:top w:w="15" w:type="dxa"/>
              <w:left w:w="15" w:type="dxa"/>
              <w:right w:w="15" w:type="dxa"/>
            </w:tcMar>
            <w:vAlign w:val="center"/>
          </w:tcPr>
          <w:p w14:paraId="3528C412">
            <w:pPr>
              <w:keepNext w:val="0"/>
              <w:keepLines w:val="0"/>
              <w:widowControl/>
              <w:suppressLineNumbers w:val="0"/>
              <w:jc w:val="left"/>
              <w:textAlignment w:val="center"/>
              <w:rPr>
                <w:rFonts w:hint="eastAsia" w:asciiTheme="majorEastAsia" w:hAnsiTheme="majorEastAsia" w:eastAsiaTheme="majorEastAsia" w:cstheme="majorEastAsia"/>
                <w:b/>
                <w:bCs/>
                <w:i w:val="0"/>
                <w:color w:val="000000"/>
                <w:kern w:val="0"/>
                <w:sz w:val="21"/>
                <w:szCs w:val="21"/>
                <w:u w:val="none"/>
                <w:lang w:val="en-US" w:eastAsia="zh-CN" w:bidi="ar"/>
              </w:rPr>
            </w:pPr>
            <w:r>
              <w:rPr>
                <w:rFonts w:hint="eastAsia" w:asciiTheme="majorEastAsia" w:hAnsiTheme="majorEastAsia" w:eastAsiaTheme="majorEastAsia" w:cstheme="majorEastAsia"/>
                <w:b/>
                <w:bCs/>
                <w:i w:val="0"/>
                <w:color w:val="000000"/>
                <w:kern w:val="0"/>
                <w:sz w:val="21"/>
                <w:szCs w:val="21"/>
                <w:u w:val="none"/>
                <w:lang w:val="en-US" w:eastAsia="zh-CN" w:bidi="ar"/>
              </w:rPr>
              <w:t>其中：</w:t>
            </w:r>
          </w:p>
          <w:p w14:paraId="10972973">
            <w:pPr>
              <w:keepNext w:val="0"/>
              <w:keepLines w:val="0"/>
              <w:widowControl/>
              <w:suppressLineNumbers w:val="0"/>
              <w:jc w:val="left"/>
              <w:textAlignment w:val="center"/>
              <w:rPr>
                <w:rFonts w:hint="eastAsia" w:asciiTheme="majorEastAsia" w:hAnsiTheme="majorEastAsia" w:eastAsiaTheme="majorEastAsia" w:cstheme="majorEastAsia"/>
                <w:b/>
                <w:bCs/>
                <w:i w:val="0"/>
                <w:color w:val="000000"/>
                <w:sz w:val="21"/>
                <w:szCs w:val="21"/>
                <w:u w:val="none"/>
              </w:rPr>
            </w:pPr>
            <w:r>
              <w:rPr>
                <w:rFonts w:hint="eastAsia" w:asciiTheme="majorEastAsia" w:hAnsiTheme="majorEastAsia" w:eastAsiaTheme="majorEastAsia" w:cstheme="majorEastAsia"/>
                <w:b/>
                <w:bCs/>
                <w:i w:val="0"/>
                <w:color w:val="000000"/>
                <w:kern w:val="0"/>
                <w:sz w:val="21"/>
                <w:szCs w:val="21"/>
                <w:u w:val="none"/>
                <w:lang w:val="en-US" w:eastAsia="zh-CN" w:bidi="ar"/>
              </w:rPr>
              <w:t>65岁及以上比重</w:t>
            </w:r>
          </w:p>
        </w:tc>
      </w:tr>
      <w:tr w14:paraId="750F6FFC">
        <w:tblPrEx>
          <w:shd w:val="clear" w:color="auto" w:fill="auto"/>
          <w:tblCellMar>
            <w:top w:w="0" w:type="dxa"/>
            <w:left w:w="0" w:type="dxa"/>
            <w:bottom w:w="0" w:type="dxa"/>
            <w:right w:w="0" w:type="dxa"/>
          </w:tblCellMar>
        </w:tblPrEx>
        <w:trPr>
          <w:trHeight w:val="285" w:hRule="atLeast"/>
        </w:trPr>
        <w:tc>
          <w:tcPr>
            <w:tcW w:w="545" w:type="dxa"/>
            <w:tcBorders>
              <w:top w:val="single" w:color="auto" w:sz="4" w:space="0"/>
              <w:left w:val="nil"/>
              <w:bottom w:val="nil"/>
              <w:right w:val="single" w:color="auto" w:sz="8" w:space="0"/>
            </w:tcBorders>
            <w:shd w:val="clear" w:color="auto" w:fill="auto"/>
            <w:tcMar>
              <w:top w:w="15" w:type="dxa"/>
              <w:left w:w="15" w:type="dxa"/>
              <w:right w:w="15" w:type="dxa"/>
            </w:tcMar>
            <w:vAlign w:val="center"/>
          </w:tcPr>
          <w:p w14:paraId="1BCB4B78">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21"/>
                <w:szCs w:val="21"/>
                <w:u w:val="none"/>
              </w:rPr>
            </w:pPr>
            <w:r>
              <w:rPr>
                <w:rFonts w:hint="eastAsia" w:asciiTheme="majorEastAsia" w:hAnsiTheme="majorEastAsia" w:eastAsiaTheme="majorEastAsia" w:cstheme="majorEastAsia"/>
                <w:b/>
                <w:i w:val="0"/>
                <w:color w:val="000000"/>
                <w:kern w:val="0"/>
                <w:sz w:val="21"/>
                <w:szCs w:val="21"/>
                <w:u w:val="none"/>
                <w:lang w:val="en-US" w:eastAsia="zh-CN" w:bidi="ar"/>
              </w:rPr>
              <w:t>全市</w:t>
            </w:r>
          </w:p>
        </w:tc>
        <w:tc>
          <w:tcPr>
            <w:tcW w:w="1310" w:type="dxa"/>
            <w:tcBorders>
              <w:top w:val="single" w:color="auto" w:sz="4" w:space="0"/>
              <w:left w:val="single" w:color="auto" w:sz="8" w:space="0"/>
              <w:bottom w:val="nil"/>
              <w:right w:val="single" w:color="auto" w:sz="8" w:space="0"/>
            </w:tcBorders>
            <w:shd w:val="clear" w:color="auto" w:fill="auto"/>
            <w:tcMar>
              <w:top w:w="15" w:type="dxa"/>
              <w:left w:w="15" w:type="dxa"/>
              <w:right w:w="15" w:type="dxa"/>
            </w:tcMar>
            <w:vAlign w:val="center"/>
          </w:tcPr>
          <w:p w14:paraId="643EE794">
            <w:pPr>
              <w:keepNext w:val="0"/>
              <w:keepLines w:val="0"/>
              <w:widowControl/>
              <w:suppressLineNumbers w:val="0"/>
              <w:jc w:val="right"/>
              <w:textAlignment w:val="center"/>
              <w:rPr>
                <w:rFonts w:hint="eastAsia" w:asciiTheme="majorEastAsia" w:hAnsiTheme="majorEastAsia" w:eastAsiaTheme="majorEastAsia" w:cstheme="majorEastAsia"/>
                <w:b/>
                <w:i w:val="0"/>
                <w:color w:val="000000"/>
                <w:sz w:val="21"/>
                <w:szCs w:val="21"/>
                <w:u w:val="none"/>
              </w:rPr>
            </w:pPr>
            <w:r>
              <w:rPr>
                <w:rFonts w:hint="eastAsia" w:asciiTheme="majorEastAsia" w:hAnsiTheme="majorEastAsia" w:eastAsiaTheme="majorEastAsia" w:cstheme="majorEastAsia"/>
                <w:b/>
                <w:i w:val="0"/>
                <w:color w:val="000000"/>
                <w:kern w:val="0"/>
                <w:sz w:val="21"/>
                <w:szCs w:val="21"/>
                <w:u w:val="none"/>
                <w:lang w:val="en-US" w:eastAsia="zh-CN" w:bidi="ar"/>
              </w:rPr>
              <w:t xml:space="preserve">238.33 </w:t>
            </w:r>
          </w:p>
        </w:tc>
        <w:tc>
          <w:tcPr>
            <w:tcW w:w="1884" w:type="dxa"/>
            <w:tcBorders>
              <w:top w:val="single" w:color="auto" w:sz="4" w:space="0"/>
              <w:left w:val="single" w:color="auto" w:sz="8" w:space="0"/>
              <w:bottom w:val="nil"/>
              <w:right w:val="single" w:color="auto" w:sz="8" w:space="0"/>
            </w:tcBorders>
            <w:shd w:val="clear" w:color="auto" w:fill="auto"/>
            <w:tcMar>
              <w:top w:w="15" w:type="dxa"/>
              <w:left w:w="15" w:type="dxa"/>
              <w:right w:w="15" w:type="dxa"/>
            </w:tcMar>
            <w:vAlign w:val="center"/>
          </w:tcPr>
          <w:p w14:paraId="637CDAD5">
            <w:pPr>
              <w:keepNext w:val="0"/>
              <w:keepLines w:val="0"/>
              <w:widowControl/>
              <w:suppressLineNumbers w:val="0"/>
              <w:jc w:val="right"/>
              <w:textAlignment w:val="center"/>
              <w:rPr>
                <w:rFonts w:hint="eastAsia" w:asciiTheme="majorEastAsia" w:hAnsiTheme="majorEastAsia" w:eastAsiaTheme="majorEastAsia" w:cstheme="majorEastAsia"/>
                <w:b/>
                <w:i w:val="0"/>
                <w:color w:val="000000"/>
                <w:sz w:val="21"/>
                <w:szCs w:val="21"/>
                <w:u w:val="none"/>
              </w:rPr>
            </w:pPr>
            <w:r>
              <w:rPr>
                <w:rFonts w:hint="eastAsia" w:asciiTheme="majorEastAsia" w:hAnsiTheme="majorEastAsia" w:eastAsiaTheme="majorEastAsia" w:cstheme="majorEastAsia"/>
                <w:b/>
                <w:i w:val="0"/>
                <w:color w:val="000000"/>
                <w:kern w:val="0"/>
                <w:sz w:val="21"/>
                <w:szCs w:val="21"/>
                <w:u w:val="none"/>
                <w:lang w:val="en-US" w:eastAsia="zh-CN" w:bidi="ar"/>
              </w:rPr>
              <w:t xml:space="preserve">41.56 </w:t>
            </w:r>
          </w:p>
        </w:tc>
        <w:tc>
          <w:tcPr>
            <w:tcW w:w="1727" w:type="dxa"/>
            <w:tcBorders>
              <w:top w:val="single" w:color="auto" w:sz="4" w:space="0"/>
              <w:left w:val="single" w:color="auto" w:sz="8" w:space="0"/>
              <w:bottom w:val="nil"/>
              <w:right w:val="single" w:color="auto" w:sz="8" w:space="0"/>
            </w:tcBorders>
            <w:shd w:val="clear" w:color="auto" w:fill="auto"/>
            <w:tcMar>
              <w:top w:w="15" w:type="dxa"/>
              <w:left w:w="15" w:type="dxa"/>
              <w:right w:w="15" w:type="dxa"/>
            </w:tcMar>
            <w:vAlign w:val="center"/>
          </w:tcPr>
          <w:p w14:paraId="76FEAE85">
            <w:pPr>
              <w:keepNext w:val="0"/>
              <w:keepLines w:val="0"/>
              <w:widowControl/>
              <w:suppressLineNumbers w:val="0"/>
              <w:jc w:val="right"/>
              <w:textAlignment w:val="center"/>
              <w:rPr>
                <w:rFonts w:hint="eastAsia" w:asciiTheme="majorEastAsia" w:hAnsiTheme="majorEastAsia" w:eastAsiaTheme="majorEastAsia" w:cstheme="majorEastAsia"/>
                <w:b/>
                <w:i w:val="0"/>
                <w:color w:val="000000"/>
                <w:sz w:val="21"/>
                <w:szCs w:val="21"/>
                <w:u w:val="none"/>
              </w:rPr>
            </w:pPr>
            <w:r>
              <w:rPr>
                <w:rFonts w:hint="eastAsia" w:asciiTheme="majorEastAsia" w:hAnsiTheme="majorEastAsia" w:eastAsiaTheme="majorEastAsia" w:cstheme="majorEastAsia"/>
                <w:b/>
                <w:i w:val="0"/>
                <w:color w:val="000000"/>
                <w:kern w:val="0"/>
                <w:sz w:val="21"/>
                <w:szCs w:val="21"/>
                <w:u w:val="none"/>
                <w:lang w:val="en-US" w:eastAsia="zh-CN" w:bidi="ar"/>
              </w:rPr>
              <w:t>17.44%</w:t>
            </w:r>
          </w:p>
        </w:tc>
        <w:tc>
          <w:tcPr>
            <w:tcW w:w="1380" w:type="dxa"/>
            <w:tcBorders>
              <w:top w:val="single" w:color="auto" w:sz="4" w:space="0"/>
              <w:left w:val="single" w:color="auto" w:sz="8" w:space="0"/>
              <w:bottom w:val="nil"/>
              <w:right w:val="nil"/>
            </w:tcBorders>
            <w:shd w:val="clear" w:color="auto" w:fill="auto"/>
            <w:tcMar>
              <w:top w:w="15" w:type="dxa"/>
              <w:left w:w="15" w:type="dxa"/>
              <w:right w:w="15" w:type="dxa"/>
            </w:tcMar>
            <w:vAlign w:val="center"/>
          </w:tcPr>
          <w:p w14:paraId="3BD996B9">
            <w:pPr>
              <w:keepNext w:val="0"/>
              <w:keepLines w:val="0"/>
              <w:widowControl/>
              <w:suppressLineNumbers w:val="0"/>
              <w:jc w:val="right"/>
              <w:textAlignment w:val="center"/>
              <w:rPr>
                <w:rFonts w:hint="eastAsia" w:asciiTheme="majorEastAsia" w:hAnsiTheme="majorEastAsia" w:eastAsiaTheme="majorEastAsia" w:cstheme="majorEastAsia"/>
                <w:b/>
                <w:i w:val="0"/>
                <w:color w:val="000000"/>
                <w:sz w:val="21"/>
                <w:szCs w:val="21"/>
                <w:u w:val="none"/>
              </w:rPr>
            </w:pPr>
            <w:r>
              <w:rPr>
                <w:rFonts w:hint="eastAsia" w:asciiTheme="majorEastAsia" w:hAnsiTheme="majorEastAsia" w:eastAsiaTheme="majorEastAsia" w:cstheme="majorEastAsia"/>
                <w:b/>
                <w:i w:val="0"/>
                <w:color w:val="000000"/>
                <w:kern w:val="0"/>
                <w:sz w:val="21"/>
                <w:szCs w:val="21"/>
                <w:u w:val="none"/>
                <w:lang w:val="en-US" w:eastAsia="zh-CN" w:bidi="ar"/>
              </w:rPr>
              <w:t>87.50%</w:t>
            </w:r>
          </w:p>
        </w:tc>
        <w:tc>
          <w:tcPr>
            <w:tcW w:w="1575" w:type="dxa"/>
            <w:tcBorders>
              <w:top w:val="single" w:color="auto" w:sz="4" w:space="0"/>
              <w:left w:val="nil"/>
              <w:bottom w:val="nil"/>
              <w:right w:val="nil"/>
            </w:tcBorders>
            <w:shd w:val="clear" w:color="auto" w:fill="auto"/>
            <w:tcMar>
              <w:top w:w="15" w:type="dxa"/>
              <w:left w:w="15" w:type="dxa"/>
              <w:right w:w="15" w:type="dxa"/>
            </w:tcMar>
            <w:vAlign w:val="center"/>
          </w:tcPr>
          <w:p w14:paraId="6A0A6D8D">
            <w:pPr>
              <w:keepNext w:val="0"/>
              <w:keepLines w:val="0"/>
              <w:widowControl/>
              <w:suppressLineNumbers w:val="0"/>
              <w:jc w:val="right"/>
              <w:textAlignment w:val="center"/>
              <w:rPr>
                <w:rFonts w:hint="eastAsia" w:asciiTheme="majorEastAsia" w:hAnsiTheme="majorEastAsia" w:eastAsiaTheme="majorEastAsia" w:cstheme="majorEastAsia"/>
                <w:b/>
                <w:i w:val="0"/>
                <w:color w:val="000000"/>
                <w:sz w:val="21"/>
                <w:szCs w:val="21"/>
                <w:u w:val="none"/>
              </w:rPr>
            </w:pPr>
            <w:r>
              <w:rPr>
                <w:rFonts w:hint="eastAsia" w:asciiTheme="majorEastAsia" w:hAnsiTheme="majorEastAsia" w:eastAsiaTheme="majorEastAsia" w:cstheme="majorEastAsia"/>
                <w:b/>
                <w:i w:val="0"/>
                <w:color w:val="000000"/>
                <w:kern w:val="0"/>
                <w:sz w:val="21"/>
                <w:szCs w:val="21"/>
                <w:u w:val="none"/>
                <w:lang w:val="en-US" w:eastAsia="zh-CN" w:bidi="ar"/>
              </w:rPr>
              <w:t>12.50%</w:t>
            </w:r>
          </w:p>
        </w:tc>
      </w:tr>
      <w:tr w14:paraId="154A13E3">
        <w:tblPrEx>
          <w:shd w:val="clear" w:color="auto" w:fill="auto"/>
          <w:tblCellMar>
            <w:top w:w="0" w:type="dxa"/>
            <w:left w:w="0" w:type="dxa"/>
            <w:bottom w:w="0" w:type="dxa"/>
            <w:right w:w="0" w:type="dxa"/>
          </w:tblCellMar>
        </w:tblPrEx>
        <w:trPr>
          <w:trHeight w:val="285" w:hRule="atLeast"/>
        </w:trPr>
        <w:tc>
          <w:tcPr>
            <w:tcW w:w="545" w:type="dxa"/>
            <w:tcBorders>
              <w:top w:val="nil"/>
              <w:left w:val="nil"/>
              <w:bottom w:val="nil"/>
              <w:right w:val="single" w:color="auto" w:sz="8" w:space="0"/>
            </w:tcBorders>
            <w:shd w:val="clear" w:color="auto" w:fill="auto"/>
            <w:tcMar>
              <w:top w:w="15" w:type="dxa"/>
              <w:left w:w="15" w:type="dxa"/>
              <w:right w:w="15" w:type="dxa"/>
            </w:tcMar>
            <w:vAlign w:val="center"/>
          </w:tcPr>
          <w:p w14:paraId="792F957E">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云城</w:t>
            </w:r>
          </w:p>
        </w:tc>
        <w:tc>
          <w:tcPr>
            <w:tcW w:w="1310"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0AC5C146">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 xml:space="preserve">40.85 </w:t>
            </w:r>
          </w:p>
        </w:tc>
        <w:tc>
          <w:tcPr>
            <w:tcW w:w="1884"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33115D9C">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 xml:space="preserve">5.74 </w:t>
            </w:r>
          </w:p>
        </w:tc>
        <w:tc>
          <w:tcPr>
            <w:tcW w:w="1727"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34FB1A63">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14.04%</w:t>
            </w:r>
          </w:p>
        </w:tc>
        <w:tc>
          <w:tcPr>
            <w:tcW w:w="1380" w:type="dxa"/>
            <w:tcBorders>
              <w:top w:val="nil"/>
              <w:left w:val="single" w:color="auto" w:sz="8" w:space="0"/>
              <w:bottom w:val="nil"/>
              <w:right w:val="nil"/>
            </w:tcBorders>
            <w:shd w:val="clear" w:color="auto" w:fill="auto"/>
            <w:tcMar>
              <w:top w:w="15" w:type="dxa"/>
              <w:left w:w="15" w:type="dxa"/>
              <w:right w:w="15" w:type="dxa"/>
            </w:tcMar>
            <w:vAlign w:val="center"/>
          </w:tcPr>
          <w:p w14:paraId="30BB06B5">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90.03%</w:t>
            </w:r>
          </w:p>
        </w:tc>
        <w:tc>
          <w:tcPr>
            <w:tcW w:w="1575" w:type="dxa"/>
            <w:tcBorders>
              <w:top w:val="nil"/>
              <w:left w:val="nil"/>
              <w:bottom w:val="nil"/>
              <w:right w:val="nil"/>
            </w:tcBorders>
            <w:shd w:val="clear" w:color="auto" w:fill="auto"/>
            <w:tcMar>
              <w:top w:w="15" w:type="dxa"/>
              <w:left w:w="15" w:type="dxa"/>
              <w:right w:w="15" w:type="dxa"/>
            </w:tcMar>
            <w:vAlign w:val="center"/>
          </w:tcPr>
          <w:p w14:paraId="0711C246">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9.97%</w:t>
            </w:r>
          </w:p>
        </w:tc>
      </w:tr>
      <w:tr w14:paraId="415443F6">
        <w:tblPrEx>
          <w:shd w:val="clear" w:color="auto" w:fill="auto"/>
          <w:tblCellMar>
            <w:top w:w="0" w:type="dxa"/>
            <w:left w:w="0" w:type="dxa"/>
            <w:bottom w:w="0" w:type="dxa"/>
            <w:right w:w="0" w:type="dxa"/>
          </w:tblCellMar>
        </w:tblPrEx>
        <w:trPr>
          <w:trHeight w:val="285" w:hRule="atLeast"/>
        </w:trPr>
        <w:tc>
          <w:tcPr>
            <w:tcW w:w="545" w:type="dxa"/>
            <w:tcBorders>
              <w:top w:val="nil"/>
              <w:left w:val="nil"/>
              <w:bottom w:val="nil"/>
              <w:right w:val="single" w:color="auto" w:sz="8" w:space="0"/>
            </w:tcBorders>
            <w:shd w:val="clear" w:color="auto" w:fill="auto"/>
            <w:tcMar>
              <w:top w:w="15" w:type="dxa"/>
              <w:left w:w="15" w:type="dxa"/>
              <w:right w:w="15" w:type="dxa"/>
            </w:tcMar>
            <w:vAlign w:val="center"/>
          </w:tcPr>
          <w:p w14:paraId="121DADFA">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云安</w:t>
            </w:r>
          </w:p>
        </w:tc>
        <w:tc>
          <w:tcPr>
            <w:tcW w:w="1310"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0DFDFB99">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 xml:space="preserve">23.54 </w:t>
            </w:r>
          </w:p>
        </w:tc>
        <w:tc>
          <w:tcPr>
            <w:tcW w:w="1884"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3F87D0DB">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 xml:space="preserve">4.16 </w:t>
            </w:r>
          </w:p>
        </w:tc>
        <w:tc>
          <w:tcPr>
            <w:tcW w:w="1727"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586B4658">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17.67%</w:t>
            </w:r>
          </w:p>
        </w:tc>
        <w:tc>
          <w:tcPr>
            <w:tcW w:w="1380" w:type="dxa"/>
            <w:tcBorders>
              <w:top w:val="nil"/>
              <w:left w:val="single" w:color="auto" w:sz="8" w:space="0"/>
              <w:bottom w:val="nil"/>
              <w:right w:val="nil"/>
            </w:tcBorders>
            <w:shd w:val="clear" w:color="auto" w:fill="auto"/>
            <w:tcMar>
              <w:top w:w="15" w:type="dxa"/>
              <w:left w:w="15" w:type="dxa"/>
              <w:right w:w="15" w:type="dxa"/>
            </w:tcMar>
            <w:vAlign w:val="center"/>
          </w:tcPr>
          <w:p w14:paraId="49E0A423">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87.41%</w:t>
            </w:r>
          </w:p>
        </w:tc>
        <w:tc>
          <w:tcPr>
            <w:tcW w:w="1575" w:type="dxa"/>
            <w:tcBorders>
              <w:top w:val="nil"/>
              <w:left w:val="nil"/>
              <w:bottom w:val="nil"/>
              <w:right w:val="nil"/>
            </w:tcBorders>
            <w:shd w:val="clear" w:color="auto" w:fill="auto"/>
            <w:tcMar>
              <w:top w:w="15" w:type="dxa"/>
              <w:left w:w="15" w:type="dxa"/>
              <w:right w:w="15" w:type="dxa"/>
            </w:tcMar>
            <w:vAlign w:val="center"/>
          </w:tcPr>
          <w:p w14:paraId="02DDF178">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12.59%</w:t>
            </w:r>
          </w:p>
        </w:tc>
      </w:tr>
      <w:tr w14:paraId="583EEAFE">
        <w:tblPrEx>
          <w:shd w:val="clear" w:color="auto" w:fill="auto"/>
          <w:tblCellMar>
            <w:top w:w="0" w:type="dxa"/>
            <w:left w:w="0" w:type="dxa"/>
            <w:bottom w:w="0" w:type="dxa"/>
            <w:right w:w="0" w:type="dxa"/>
          </w:tblCellMar>
        </w:tblPrEx>
        <w:trPr>
          <w:trHeight w:val="285" w:hRule="atLeast"/>
        </w:trPr>
        <w:tc>
          <w:tcPr>
            <w:tcW w:w="545" w:type="dxa"/>
            <w:tcBorders>
              <w:top w:val="nil"/>
              <w:left w:val="nil"/>
              <w:bottom w:val="nil"/>
              <w:right w:val="single" w:color="auto" w:sz="8" w:space="0"/>
            </w:tcBorders>
            <w:shd w:val="clear" w:color="auto" w:fill="auto"/>
            <w:tcMar>
              <w:top w:w="15" w:type="dxa"/>
              <w:left w:w="15" w:type="dxa"/>
              <w:right w:w="15" w:type="dxa"/>
            </w:tcMar>
            <w:vAlign w:val="center"/>
          </w:tcPr>
          <w:p w14:paraId="290505CE">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罗定</w:t>
            </w:r>
          </w:p>
        </w:tc>
        <w:tc>
          <w:tcPr>
            <w:tcW w:w="1310"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389CD820">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 xml:space="preserve">93.69 </w:t>
            </w:r>
          </w:p>
        </w:tc>
        <w:tc>
          <w:tcPr>
            <w:tcW w:w="1884"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05CD6929">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 xml:space="preserve">16.18 </w:t>
            </w:r>
          </w:p>
        </w:tc>
        <w:tc>
          <w:tcPr>
            <w:tcW w:w="1727"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2AD60E04">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17.27%</w:t>
            </w:r>
          </w:p>
        </w:tc>
        <w:tc>
          <w:tcPr>
            <w:tcW w:w="1380" w:type="dxa"/>
            <w:tcBorders>
              <w:top w:val="nil"/>
              <w:left w:val="single" w:color="auto" w:sz="8" w:space="0"/>
              <w:bottom w:val="nil"/>
              <w:right w:val="nil"/>
            </w:tcBorders>
            <w:shd w:val="clear" w:color="auto" w:fill="auto"/>
            <w:tcMar>
              <w:top w:w="15" w:type="dxa"/>
              <w:left w:w="15" w:type="dxa"/>
              <w:right w:w="15" w:type="dxa"/>
            </w:tcMar>
            <w:vAlign w:val="center"/>
          </w:tcPr>
          <w:p w14:paraId="53A59138">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87.80%</w:t>
            </w:r>
          </w:p>
        </w:tc>
        <w:tc>
          <w:tcPr>
            <w:tcW w:w="1575" w:type="dxa"/>
            <w:tcBorders>
              <w:top w:val="nil"/>
              <w:left w:val="nil"/>
              <w:bottom w:val="nil"/>
              <w:right w:val="nil"/>
            </w:tcBorders>
            <w:shd w:val="clear" w:color="auto" w:fill="auto"/>
            <w:tcMar>
              <w:top w:w="15" w:type="dxa"/>
              <w:left w:w="15" w:type="dxa"/>
              <w:right w:w="15" w:type="dxa"/>
            </w:tcMar>
            <w:vAlign w:val="center"/>
          </w:tcPr>
          <w:p w14:paraId="2194D1D2">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12.20%</w:t>
            </w:r>
          </w:p>
        </w:tc>
      </w:tr>
      <w:tr w14:paraId="0F2F0007">
        <w:tblPrEx>
          <w:shd w:val="clear" w:color="auto" w:fill="auto"/>
          <w:tblCellMar>
            <w:top w:w="0" w:type="dxa"/>
            <w:left w:w="0" w:type="dxa"/>
            <w:bottom w:w="0" w:type="dxa"/>
            <w:right w:w="0" w:type="dxa"/>
          </w:tblCellMar>
        </w:tblPrEx>
        <w:trPr>
          <w:trHeight w:val="285" w:hRule="atLeast"/>
        </w:trPr>
        <w:tc>
          <w:tcPr>
            <w:tcW w:w="545" w:type="dxa"/>
            <w:tcBorders>
              <w:top w:val="nil"/>
              <w:left w:val="nil"/>
              <w:bottom w:val="nil"/>
              <w:right w:val="single" w:color="auto" w:sz="8" w:space="0"/>
            </w:tcBorders>
            <w:shd w:val="clear" w:color="auto" w:fill="auto"/>
            <w:tcMar>
              <w:top w:w="15" w:type="dxa"/>
              <w:left w:w="15" w:type="dxa"/>
              <w:right w:w="15" w:type="dxa"/>
            </w:tcMar>
            <w:vAlign w:val="center"/>
          </w:tcPr>
          <w:p w14:paraId="226B3243">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新兴</w:t>
            </w:r>
          </w:p>
        </w:tc>
        <w:tc>
          <w:tcPr>
            <w:tcW w:w="1310"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5DD5E930">
            <w:pPr>
              <w:keepNext w:val="0"/>
              <w:keepLines w:val="0"/>
              <w:widowControl/>
              <w:suppressLineNumbers w:val="0"/>
              <w:jc w:val="right"/>
              <w:textAlignment w:val="center"/>
              <w:rPr>
                <w:rFonts w:hint="eastAsia" w:asciiTheme="majorEastAsia" w:hAnsiTheme="majorEastAsia" w:eastAsiaTheme="majorEastAsia" w:cstheme="majorEastAsia"/>
                <w:i w:val="0"/>
                <w:color w:val="000000"/>
                <w:kern w:val="0"/>
                <w:sz w:val="21"/>
                <w:szCs w:val="21"/>
                <w:u w:val="none"/>
                <w:lang w:val="en-US" w:eastAsia="zh-CN" w:bidi="ar"/>
              </w:rPr>
            </w:pPr>
            <w:r>
              <w:rPr>
                <w:rFonts w:hint="eastAsia" w:asciiTheme="majorEastAsia" w:hAnsiTheme="majorEastAsia" w:eastAsiaTheme="majorEastAsia" w:cstheme="majorEastAsia"/>
                <w:i w:val="0"/>
                <w:color w:val="000000"/>
                <w:kern w:val="0"/>
                <w:sz w:val="21"/>
                <w:szCs w:val="21"/>
                <w:u w:val="none"/>
                <w:lang w:val="en-US" w:eastAsia="zh-CN" w:bidi="ar"/>
              </w:rPr>
              <w:t xml:space="preserve">43.08 </w:t>
            </w:r>
          </w:p>
        </w:tc>
        <w:tc>
          <w:tcPr>
            <w:tcW w:w="1884"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5728C786">
            <w:pPr>
              <w:keepNext w:val="0"/>
              <w:keepLines w:val="0"/>
              <w:widowControl/>
              <w:suppressLineNumbers w:val="0"/>
              <w:jc w:val="right"/>
              <w:textAlignment w:val="center"/>
              <w:rPr>
                <w:rFonts w:hint="eastAsia" w:asciiTheme="majorEastAsia" w:hAnsiTheme="majorEastAsia" w:eastAsiaTheme="majorEastAsia" w:cstheme="majorEastAsia"/>
                <w:i w:val="0"/>
                <w:color w:val="000000"/>
                <w:kern w:val="0"/>
                <w:sz w:val="21"/>
                <w:szCs w:val="21"/>
                <w:u w:val="none"/>
                <w:lang w:val="en-US" w:eastAsia="zh-CN" w:bidi="ar"/>
              </w:rPr>
            </w:pPr>
            <w:r>
              <w:rPr>
                <w:rFonts w:hint="eastAsia" w:asciiTheme="majorEastAsia" w:hAnsiTheme="majorEastAsia" w:eastAsiaTheme="majorEastAsia" w:cstheme="majorEastAsia"/>
                <w:i w:val="0"/>
                <w:color w:val="000000"/>
                <w:kern w:val="0"/>
                <w:sz w:val="21"/>
                <w:szCs w:val="21"/>
                <w:u w:val="none"/>
                <w:lang w:val="en-US" w:eastAsia="zh-CN" w:bidi="ar"/>
              </w:rPr>
              <w:t xml:space="preserve">7.89 </w:t>
            </w:r>
          </w:p>
        </w:tc>
        <w:tc>
          <w:tcPr>
            <w:tcW w:w="1727" w:type="dxa"/>
            <w:tcBorders>
              <w:top w:val="nil"/>
              <w:left w:val="single" w:color="auto" w:sz="8" w:space="0"/>
              <w:bottom w:val="nil"/>
              <w:right w:val="single" w:color="auto" w:sz="8" w:space="0"/>
            </w:tcBorders>
            <w:shd w:val="clear" w:color="auto" w:fill="auto"/>
            <w:tcMar>
              <w:top w:w="15" w:type="dxa"/>
              <w:left w:w="15" w:type="dxa"/>
              <w:right w:w="15" w:type="dxa"/>
            </w:tcMar>
            <w:vAlign w:val="center"/>
          </w:tcPr>
          <w:p w14:paraId="1FB1CEDD">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18.32%</w:t>
            </w:r>
          </w:p>
        </w:tc>
        <w:tc>
          <w:tcPr>
            <w:tcW w:w="1380" w:type="dxa"/>
            <w:tcBorders>
              <w:top w:val="nil"/>
              <w:left w:val="single" w:color="auto" w:sz="8" w:space="0"/>
              <w:bottom w:val="nil"/>
              <w:right w:val="nil"/>
            </w:tcBorders>
            <w:shd w:val="clear" w:color="auto" w:fill="auto"/>
            <w:tcMar>
              <w:top w:w="15" w:type="dxa"/>
              <w:left w:w="15" w:type="dxa"/>
              <w:right w:w="15" w:type="dxa"/>
            </w:tcMar>
            <w:vAlign w:val="center"/>
          </w:tcPr>
          <w:p w14:paraId="0364A648">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86.27%</w:t>
            </w:r>
          </w:p>
        </w:tc>
        <w:tc>
          <w:tcPr>
            <w:tcW w:w="1575" w:type="dxa"/>
            <w:tcBorders>
              <w:top w:val="nil"/>
              <w:left w:val="nil"/>
              <w:bottom w:val="nil"/>
              <w:right w:val="nil"/>
            </w:tcBorders>
            <w:shd w:val="clear" w:color="auto" w:fill="auto"/>
            <w:tcMar>
              <w:top w:w="15" w:type="dxa"/>
              <w:left w:w="15" w:type="dxa"/>
              <w:right w:w="15" w:type="dxa"/>
            </w:tcMar>
            <w:vAlign w:val="center"/>
          </w:tcPr>
          <w:p w14:paraId="36BBC9F8">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13.73%</w:t>
            </w:r>
          </w:p>
        </w:tc>
      </w:tr>
      <w:tr w14:paraId="687D7C16">
        <w:tblPrEx>
          <w:shd w:val="clear" w:color="auto" w:fill="auto"/>
          <w:tblCellMar>
            <w:top w:w="0" w:type="dxa"/>
            <w:left w:w="0" w:type="dxa"/>
            <w:bottom w:w="0" w:type="dxa"/>
            <w:right w:w="0" w:type="dxa"/>
          </w:tblCellMar>
        </w:tblPrEx>
        <w:trPr>
          <w:trHeight w:val="300" w:hRule="atLeast"/>
        </w:trPr>
        <w:tc>
          <w:tcPr>
            <w:tcW w:w="545" w:type="dxa"/>
            <w:tcBorders>
              <w:top w:val="nil"/>
              <w:left w:val="nil"/>
              <w:bottom w:val="single" w:color="auto" w:sz="12" w:space="0"/>
              <w:right w:val="single" w:color="auto" w:sz="8" w:space="0"/>
            </w:tcBorders>
            <w:shd w:val="clear" w:color="auto" w:fill="auto"/>
            <w:tcMar>
              <w:top w:w="15" w:type="dxa"/>
              <w:left w:w="15" w:type="dxa"/>
              <w:right w:w="15" w:type="dxa"/>
            </w:tcMar>
            <w:vAlign w:val="center"/>
          </w:tcPr>
          <w:p w14:paraId="48FF3C60">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郁南</w:t>
            </w:r>
          </w:p>
        </w:tc>
        <w:tc>
          <w:tcPr>
            <w:tcW w:w="1310" w:type="dxa"/>
            <w:tcBorders>
              <w:top w:val="nil"/>
              <w:left w:val="single" w:color="auto" w:sz="8" w:space="0"/>
              <w:bottom w:val="single" w:color="auto" w:sz="12" w:space="0"/>
              <w:right w:val="single" w:color="auto" w:sz="8" w:space="0"/>
            </w:tcBorders>
            <w:shd w:val="clear" w:color="auto" w:fill="auto"/>
            <w:tcMar>
              <w:top w:w="15" w:type="dxa"/>
              <w:left w:w="15" w:type="dxa"/>
              <w:right w:w="15" w:type="dxa"/>
            </w:tcMar>
            <w:vAlign w:val="center"/>
          </w:tcPr>
          <w:p w14:paraId="5CC3AA96">
            <w:pPr>
              <w:keepNext w:val="0"/>
              <w:keepLines w:val="0"/>
              <w:widowControl/>
              <w:suppressLineNumbers w:val="0"/>
              <w:jc w:val="right"/>
              <w:textAlignment w:val="center"/>
              <w:rPr>
                <w:rFonts w:hint="eastAsia" w:asciiTheme="majorEastAsia" w:hAnsiTheme="majorEastAsia" w:eastAsiaTheme="majorEastAsia" w:cstheme="majorEastAsia"/>
                <w:i w:val="0"/>
                <w:color w:val="000000"/>
                <w:kern w:val="0"/>
                <w:sz w:val="21"/>
                <w:szCs w:val="21"/>
                <w:u w:val="none"/>
                <w:lang w:val="en-US" w:eastAsia="zh-CN" w:bidi="ar"/>
              </w:rPr>
            </w:pPr>
            <w:r>
              <w:rPr>
                <w:rFonts w:hint="eastAsia" w:asciiTheme="majorEastAsia" w:hAnsiTheme="majorEastAsia" w:eastAsiaTheme="majorEastAsia" w:cstheme="majorEastAsia"/>
                <w:i w:val="0"/>
                <w:color w:val="000000"/>
                <w:kern w:val="0"/>
                <w:sz w:val="21"/>
                <w:szCs w:val="21"/>
                <w:u w:val="none"/>
                <w:lang w:val="en-US" w:eastAsia="zh-CN" w:bidi="ar"/>
              </w:rPr>
              <w:t xml:space="preserve">37.16 </w:t>
            </w:r>
          </w:p>
        </w:tc>
        <w:tc>
          <w:tcPr>
            <w:tcW w:w="1884" w:type="dxa"/>
            <w:tcBorders>
              <w:top w:val="nil"/>
              <w:left w:val="single" w:color="auto" w:sz="8" w:space="0"/>
              <w:bottom w:val="single" w:color="auto" w:sz="12" w:space="0"/>
              <w:right w:val="single" w:color="auto" w:sz="8" w:space="0"/>
            </w:tcBorders>
            <w:shd w:val="clear" w:color="auto" w:fill="auto"/>
            <w:tcMar>
              <w:top w:w="15" w:type="dxa"/>
              <w:left w:w="15" w:type="dxa"/>
              <w:right w:w="15" w:type="dxa"/>
            </w:tcMar>
            <w:vAlign w:val="center"/>
          </w:tcPr>
          <w:p w14:paraId="25F97125">
            <w:pPr>
              <w:keepNext w:val="0"/>
              <w:keepLines w:val="0"/>
              <w:widowControl/>
              <w:suppressLineNumbers w:val="0"/>
              <w:jc w:val="right"/>
              <w:textAlignment w:val="center"/>
              <w:rPr>
                <w:rFonts w:hint="eastAsia" w:asciiTheme="majorEastAsia" w:hAnsiTheme="majorEastAsia" w:eastAsiaTheme="majorEastAsia" w:cstheme="majorEastAsia"/>
                <w:i w:val="0"/>
                <w:color w:val="000000"/>
                <w:kern w:val="0"/>
                <w:sz w:val="21"/>
                <w:szCs w:val="21"/>
                <w:u w:val="none"/>
                <w:lang w:val="en-US" w:eastAsia="zh-CN" w:bidi="ar"/>
              </w:rPr>
            </w:pPr>
            <w:r>
              <w:rPr>
                <w:rFonts w:hint="eastAsia" w:asciiTheme="majorEastAsia" w:hAnsiTheme="majorEastAsia" w:eastAsiaTheme="majorEastAsia" w:cstheme="majorEastAsia"/>
                <w:i w:val="0"/>
                <w:color w:val="000000"/>
                <w:kern w:val="0"/>
                <w:sz w:val="21"/>
                <w:szCs w:val="21"/>
                <w:u w:val="none"/>
                <w:lang w:val="en-US" w:eastAsia="zh-CN" w:bidi="ar"/>
              </w:rPr>
              <w:t xml:space="preserve">7.59 </w:t>
            </w:r>
          </w:p>
        </w:tc>
        <w:tc>
          <w:tcPr>
            <w:tcW w:w="1727" w:type="dxa"/>
            <w:tcBorders>
              <w:top w:val="nil"/>
              <w:left w:val="single" w:color="auto" w:sz="8" w:space="0"/>
              <w:bottom w:val="single" w:color="auto" w:sz="12" w:space="0"/>
              <w:right w:val="single" w:color="auto" w:sz="8" w:space="0"/>
            </w:tcBorders>
            <w:shd w:val="clear" w:color="auto" w:fill="auto"/>
            <w:tcMar>
              <w:top w:w="15" w:type="dxa"/>
              <w:left w:w="15" w:type="dxa"/>
              <w:right w:w="15" w:type="dxa"/>
            </w:tcMar>
            <w:vAlign w:val="center"/>
          </w:tcPr>
          <w:p w14:paraId="1FDE6BEF">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20.44%</w:t>
            </w:r>
          </w:p>
        </w:tc>
        <w:tc>
          <w:tcPr>
            <w:tcW w:w="1380" w:type="dxa"/>
            <w:tcBorders>
              <w:top w:val="nil"/>
              <w:left w:val="single" w:color="auto" w:sz="8" w:space="0"/>
              <w:bottom w:val="single" w:color="auto" w:sz="12" w:space="0"/>
              <w:right w:val="nil"/>
            </w:tcBorders>
            <w:shd w:val="clear" w:color="auto" w:fill="auto"/>
            <w:tcMar>
              <w:top w:w="15" w:type="dxa"/>
              <w:left w:w="15" w:type="dxa"/>
              <w:right w:w="15" w:type="dxa"/>
            </w:tcMar>
            <w:vAlign w:val="center"/>
          </w:tcPr>
          <w:p w14:paraId="780B76B8">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85.47%</w:t>
            </w:r>
          </w:p>
        </w:tc>
        <w:tc>
          <w:tcPr>
            <w:tcW w:w="1575" w:type="dxa"/>
            <w:tcBorders>
              <w:top w:val="nil"/>
              <w:left w:val="nil"/>
              <w:bottom w:val="single" w:color="auto" w:sz="12" w:space="0"/>
              <w:right w:val="nil"/>
            </w:tcBorders>
            <w:shd w:val="clear" w:color="auto" w:fill="auto"/>
            <w:tcMar>
              <w:top w:w="15" w:type="dxa"/>
              <w:left w:w="15" w:type="dxa"/>
              <w:right w:w="15" w:type="dxa"/>
            </w:tcMar>
            <w:vAlign w:val="center"/>
          </w:tcPr>
          <w:p w14:paraId="51DF64E8">
            <w:pPr>
              <w:keepNext w:val="0"/>
              <w:keepLines w:val="0"/>
              <w:widowControl/>
              <w:suppressLineNumbers w:val="0"/>
              <w:jc w:val="right"/>
              <w:textAlignment w:val="center"/>
              <w:rPr>
                <w:rFonts w:hint="eastAsia" w:asciiTheme="majorEastAsia" w:hAnsiTheme="majorEastAsia" w:eastAsiaTheme="majorEastAsia" w:cstheme="majorEastAsia"/>
                <w:i w:val="0"/>
                <w:color w:val="000000"/>
                <w:sz w:val="21"/>
                <w:szCs w:val="21"/>
                <w:u w:val="none"/>
              </w:rPr>
            </w:pPr>
            <w:r>
              <w:rPr>
                <w:rFonts w:hint="eastAsia" w:asciiTheme="majorEastAsia" w:hAnsiTheme="majorEastAsia" w:eastAsiaTheme="majorEastAsia" w:cstheme="majorEastAsia"/>
                <w:i w:val="0"/>
                <w:color w:val="000000"/>
                <w:kern w:val="0"/>
                <w:sz w:val="21"/>
                <w:szCs w:val="21"/>
                <w:u w:val="none"/>
                <w:lang w:val="en-US" w:eastAsia="zh-CN" w:bidi="ar"/>
              </w:rPr>
              <w:t>14.53%</w:t>
            </w:r>
          </w:p>
        </w:tc>
      </w:tr>
    </w:tbl>
    <w:p w14:paraId="6572B12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2"/>
        <w:rPr>
          <w:rFonts w:hint="eastAsia" w:asciiTheme="majorEastAsia" w:hAnsiTheme="majorEastAsia" w:eastAsiaTheme="majorEastAsia" w:cstheme="majorEastAsia"/>
          <w:sz w:val="21"/>
          <w:szCs w:val="21"/>
          <w:lang w:val="en-US" w:eastAsia="zh-CN"/>
        </w:rPr>
      </w:pPr>
      <w:bookmarkStart w:id="5" w:name="_Toc785673109"/>
      <w:r>
        <w:rPr>
          <w:rFonts w:hint="eastAsia" w:asciiTheme="majorEastAsia" w:hAnsiTheme="majorEastAsia" w:eastAsiaTheme="majorEastAsia" w:cstheme="majorEastAsia"/>
          <w:sz w:val="21"/>
          <w:szCs w:val="21"/>
          <w:lang w:val="en-US" w:eastAsia="zh-CN"/>
        </w:rPr>
        <w:t>数据来源：云浮市第七次人口普查数据</w:t>
      </w:r>
      <w:bookmarkEnd w:id="5"/>
    </w:p>
    <w:p w14:paraId="2419C3D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drawing>
          <wp:anchor distT="0" distB="0" distL="114300" distR="114300" simplePos="0" relativeHeight="251659264" behindDoc="0" locked="0" layoutInCell="1" allowOverlap="1">
            <wp:simplePos x="0" y="0"/>
            <wp:positionH relativeFrom="column">
              <wp:posOffset>185420</wp:posOffset>
            </wp:positionH>
            <wp:positionV relativeFrom="paragraph">
              <wp:posOffset>224155</wp:posOffset>
            </wp:positionV>
            <wp:extent cx="4679950" cy="2520315"/>
            <wp:effectExtent l="4445" t="4445" r="20955" b="8890"/>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12BC085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24"/>
          <w:szCs w:val="24"/>
          <w:lang w:val="en-US" w:eastAsia="zh-CN"/>
        </w:rPr>
      </w:pPr>
    </w:p>
    <w:p w14:paraId="5145E2E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24"/>
          <w:szCs w:val="24"/>
          <w:lang w:val="en-US" w:eastAsia="zh-CN"/>
        </w:rPr>
      </w:pPr>
    </w:p>
    <w:p w14:paraId="2942931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24"/>
          <w:szCs w:val="24"/>
          <w:lang w:val="en-US" w:eastAsia="zh-CN"/>
        </w:rPr>
      </w:pPr>
    </w:p>
    <w:p w14:paraId="47D7630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24"/>
          <w:szCs w:val="24"/>
          <w:lang w:val="en-US" w:eastAsia="zh-CN"/>
        </w:rPr>
      </w:pPr>
    </w:p>
    <w:p w14:paraId="301CF71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24"/>
          <w:szCs w:val="24"/>
          <w:lang w:val="en-US" w:eastAsia="zh-CN"/>
        </w:rPr>
      </w:pPr>
    </w:p>
    <w:p w14:paraId="27143B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24"/>
          <w:szCs w:val="24"/>
          <w:lang w:val="en-US" w:eastAsia="zh-CN"/>
        </w:rPr>
      </w:pPr>
    </w:p>
    <w:p w14:paraId="6472F91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仿宋" w:cs="Times New Roman"/>
          <w:sz w:val="28"/>
          <w:szCs w:val="28"/>
          <w:lang w:val="en-US" w:eastAsia="zh-CN"/>
        </w:rPr>
      </w:pPr>
    </w:p>
    <w:p w14:paraId="21A9820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图1 云浮市“新老人”总数现状</w:t>
      </w:r>
    </w:p>
    <w:p w14:paraId="35363BFA">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6" w:name="_Toc1393181647"/>
      <w:r>
        <w:rPr>
          <w:rFonts w:hint="default" w:ascii="国标黑体" w:hAnsi="国标黑体" w:eastAsia="国标黑体" w:cs="国标黑体"/>
          <w:b/>
          <w:bCs/>
          <w:sz w:val="30"/>
          <w:szCs w:val="30"/>
          <w:lang w:val="en-US" w:eastAsia="zh-CN"/>
        </w:rPr>
        <w:t>（二）消费需求分化与市场潜力待激活</w:t>
      </w:r>
      <w:bookmarkEnd w:id="6"/>
    </w:p>
    <w:p w14:paraId="460FACC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对1356份问卷分析，云浮市</w:t>
      </w:r>
      <w:r>
        <w:rPr>
          <w:rFonts w:hint="eastAsia" w:ascii="国标宋体" w:hAnsi="国标宋体" w:eastAsia="国标宋体" w:cs="国标宋体"/>
          <w:sz w:val="28"/>
          <w:szCs w:val="28"/>
          <w:lang w:val="en-US" w:eastAsia="zh-CN"/>
        </w:rPr>
        <w:t>老年人</w:t>
      </w:r>
      <w:r>
        <w:rPr>
          <w:rFonts w:hint="default" w:ascii="国标宋体" w:hAnsi="国标宋体" w:eastAsia="国标宋体" w:cs="国标宋体"/>
          <w:sz w:val="28"/>
          <w:szCs w:val="28"/>
          <w:lang w:val="en-US" w:eastAsia="zh-CN"/>
        </w:rPr>
        <w:t>消费结构呈现“医疗保健比重高，享受服务型增长快”</w:t>
      </w:r>
      <w:r>
        <w:rPr>
          <w:rFonts w:hint="eastAsia" w:ascii="国标宋体" w:hAnsi="国标宋体" w:eastAsia="国标宋体" w:cs="国标宋体"/>
          <w:sz w:val="28"/>
          <w:szCs w:val="28"/>
          <w:lang w:val="en-US" w:eastAsia="zh-CN"/>
        </w:rPr>
        <w:t>的特点</w:t>
      </w:r>
      <w:r>
        <w:rPr>
          <w:rFonts w:hint="default" w:ascii="国标宋体" w:hAnsi="国标宋体" w:eastAsia="国标宋体" w:cs="国标宋体"/>
          <w:sz w:val="28"/>
          <w:szCs w:val="28"/>
          <w:lang w:val="en-US" w:eastAsia="zh-CN"/>
        </w:rPr>
        <w:t>：医疗保健比重达32%，老年人</w:t>
      </w:r>
      <w:r>
        <w:rPr>
          <w:rFonts w:hint="eastAsia" w:ascii="国标宋体" w:hAnsi="国标宋体" w:eastAsia="国标宋体" w:cs="国标宋体"/>
          <w:sz w:val="28"/>
          <w:szCs w:val="28"/>
          <w:lang w:val="en-US" w:eastAsia="zh-CN"/>
        </w:rPr>
        <w:t>主要</w:t>
      </w:r>
      <w:r>
        <w:rPr>
          <w:rFonts w:hint="default" w:ascii="国标宋体" w:hAnsi="国标宋体" w:eastAsia="国标宋体" w:cs="国标宋体"/>
          <w:sz w:val="28"/>
          <w:szCs w:val="28"/>
          <w:lang w:val="en-US" w:eastAsia="zh-CN"/>
        </w:rPr>
        <w:t>需求</w:t>
      </w:r>
      <w:r>
        <w:rPr>
          <w:rFonts w:hint="eastAsia" w:ascii="国标宋体" w:hAnsi="国标宋体" w:eastAsia="国标宋体" w:cs="国标宋体"/>
          <w:sz w:val="28"/>
          <w:szCs w:val="28"/>
          <w:lang w:val="en-US" w:eastAsia="zh-CN"/>
        </w:rPr>
        <w:t>是</w:t>
      </w:r>
      <w:r>
        <w:rPr>
          <w:rFonts w:hint="default" w:ascii="国标宋体" w:hAnsi="国标宋体" w:eastAsia="国标宋体" w:cs="国标宋体"/>
          <w:sz w:val="28"/>
          <w:szCs w:val="28"/>
          <w:lang w:val="en-US" w:eastAsia="zh-CN"/>
        </w:rPr>
        <w:t>慢性病预防，康复护理；文娱教育比重达25%，老年大学</w:t>
      </w:r>
      <w:r>
        <w:rPr>
          <w:rFonts w:hint="eastAsia" w:ascii="国标宋体" w:hAnsi="国标宋体" w:eastAsia="国标宋体" w:cs="国标宋体"/>
          <w:sz w:val="28"/>
          <w:szCs w:val="28"/>
          <w:lang w:val="en-US" w:eastAsia="zh-CN"/>
        </w:rPr>
        <w:t>报名人数</w:t>
      </w:r>
      <w:r>
        <w:rPr>
          <w:rFonts w:hint="default" w:ascii="国标宋体" w:hAnsi="国标宋体" w:eastAsia="国标宋体" w:cs="国标宋体"/>
          <w:sz w:val="28"/>
          <w:szCs w:val="28"/>
          <w:lang w:val="en-US" w:eastAsia="zh-CN"/>
        </w:rPr>
        <w:t>近3年连续增长15%，中医养生保健、手机摄影等；适老化产品消费意愿高，18%的家庭使用了智能化监测设备，60%的老人想尝试使用“一键呼叫”“健康预警”等智能化养老产品；城市居民比农村居民更注重旅居养老、金融理财，农村居民更注重居家安全、普惠性医疗</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65%</w:t>
      </w:r>
      <w:r>
        <w:rPr>
          <w:rFonts w:hint="eastAsia" w:ascii="国标宋体" w:hAnsi="国标宋体" w:eastAsia="国标宋体" w:cs="国标宋体"/>
          <w:sz w:val="28"/>
          <w:szCs w:val="28"/>
          <w:lang w:val="en-US" w:eastAsia="zh-CN"/>
        </w:rPr>
        <w:t>老人</w:t>
      </w:r>
      <w:r>
        <w:rPr>
          <w:rFonts w:hint="default" w:ascii="国标宋体" w:hAnsi="国标宋体" w:eastAsia="国标宋体" w:cs="国标宋体"/>
          <w:sz w:val="28"/>
          <w:szCs w:val="28"/>
          <w:lang w:val="en-US" w:eastAsia="zh-CN"/>
        </w:rPr>
        <w:t>认为当前养老产品是“功能单一，价格偏高”，供给与需求不相匹配</w:t>
      </w:r>
      <w:r>
        <w:rPr>
          <w:rFonts w:hint="eastAsia" w:ascii="国标宋体" w:hAnsi="国标宋体" w:eastAsia="国标宋体" w:cs="国标宋体"/>
          <w:sz w:val="28"/>
          <w:szCs w:val="28"/>
          <w:lang w:val="en-US" w:eastAsia="zh-CN"/>
        </w:rPr>
        <w:t>。</w:t>
      </w:r>
    </w:p>
    <w:p w14:paraId="1119693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cs="Times New Roman"/>
        </w:rPr>
        <w:drawing>
          <wp:inline distT="0" distB="0" distL="114300" distR="114300">
            <wp:extent cx="4826000" cy="2743200"/>
            <wp:effectExtent l="4445" t="4445" r="825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170D0BA">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图2 云浮市老年人消费结构</w:t>
      </w:r>
    </w:p>
    <w:p w14:paraId="2CBFA1BE">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7" w:name="_Toc1030146812"/>
      <w:r>
        <w:rPr>
          <w:rFonts w:hint="default" w:ascii="国标黑体" w:hAnsi="国标黑体" w:eastAsia="国标黑体" w:cs="国标黑体"/>
          <w:b/>
          <w:bCs/>
          <w:sz w:val="30"/>
          <w:szCs w:val="30"/>
          <w:lang w:val="en-US" w:eastAsia="zh-CN"/>
        </w:rPr>
        <w:t>（三）产业基础与政策环境奠定发展基石</w:t>
      </w:r>
      <w:bookmarkEnd w:id="7"/>
    </w:p>
    <w:p w14:paraId="27EECB1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云浮市具备发展银发经济的多重优势：生态资源方面，拥有</w:t>
      </w:r>
      <w:r>
        <w:rPr>
          <w:rFonts w:hint="eastAsia" w:ascii="国标宋体" w:hAnsi="国标宋体" w:eastAsia="国标宋体" w:cs="国标宋体"/>
          <w:sz w:val="28"/>
          <w:szCs w:val="28"/>
          <w:lang w:val="en-US" w:eastAsia="zh-CN"/>
        </w:rPr>
        <w:t>A类</w:t>
      </w:r>
      <w:r>
        <w:rPr>
          <w:rFonts w:hint="default" w:ascii="国标宋体" w:hAnsi="国标宋体" w:eastAsia="国标宋体" w:cs="国标宋体"/>
          <w:sz w:val="28"/>
          <w:szCs w:val="28"/>
          <w:lang w:val="en-US" w:eastAsia="zh-CN"/>
        </w:rPr>
        <w:t>生态</w:t>
      </w:r>
      <w:r>
        <w:rPr>
          <w:rFonts w:hint="eastAsia" w:ascii="国标宋体" w:hAnsi="国标宋体" w:eastAsia="国标宋体" w:cs="国标宋体"/>
          <w:sz w:val="28"/>
          <w:szCs w:val="28"/>
          <w:lang w:val="en-US" w:eastAsia="zh-CN"/>
        </w:rPr>
        <w:t>旅游区</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森林覆盖率超67%</w:t>
      </w:r>
      <w:r>
        <w:rPr>
          <w:rFonts w:hint="default" w:ascii="国标宋体" w:hAnsi="国标宋体" w:eastAsia="国标宋体" w:cs="国标宋体"/>
          <w:sz w:val="28"/>
          <w:szCs w:val="28"/>
          <w:lang w:val="en-US" w:eastAsia="zh-CN"/>
        </w:rPr>
        <w:t>，年均空气质量优良，为康养产业提供天然载体；特色产业方面，</w:t>
      </w:r>
      <w:bookmarkStart w:id="8" w:name="OLE_LINK2"/>
      <w:r>
        <w:rPr>
          <w:rFonts w:hint="default" w:ascii="国标宋体" w:hAnsi="国标宋体" w:eastAsia="国标宋体" w:cs="国标宋体"/>
          <w:sz w:val="28"/>
          <w:szCs w:val="28"/>
          <w:lang w:val="en-US" w:eastAsia="zh-CN"/>
        </w:rPr>
        <w:t>石材产业年产值</w:t>
      </w:r>
      <w:bookmarkEnd w:id="8"/>
      <w:r>
        <w:rPr>
          <w:rFonts w:hint="default" w:ascii="国标宋体" w:hAnsi="国标宋体" w:eastAsia="国标宋体" w:cs="国标宋体"/>
          <w:sz w:val="28"/>
          <w:szCs w:val="28"/>
          <w:lang w:val="en-US" w:eastAsia="zh-CN"/>
        </w:rPr>
        <w:t>超</w:t>
      </w:r>
      <w:r>
        <w:rPr>
          <w:rFonts w:hint="eastAsia" w:ascii="国标宋体" w:hAnsi="国标宋体" w:eastAsia="国标宋体" w:cs="国标宋体"/>
          <w:sz w:val="28"/>
          <w:szCs w:val="28"/>
          <w:lang w:val="en-US" w:eastAsia="zh-CN"/>
        </w:rPr>
        <w:t>40</w:t>
      </w:r>
      <w:r>
        <w:rPr>
          <w:rFonts w:hint="default" w:ascii="国标宋体" w:hAnsi="国标宋体" w:eastAsia="国标宋体" w:cs="国标宋体"/>
          <w:sz w:val="28"/>
          <w:szCs w:val="28"/>
          <w:lang w:val="en-US" w:eastAsia="zh-CN"/>
        </w:rPr>
        <w:t>0亿元，可延伸开发适老化家居建材；南药种植面积达130</w:t>
      </w:r>
      <w:r>
        <w:rPr>
          <w:rFonts w:hint="eastAsia" w:ascii="国标宋体" w:hAnsi="国标宋体" w:eastAsia="国标宋体" w:cs="国标宋体"/>
          <w:sz w:val="28"/>
          <w:szCs w:val="28"/>
          <w:lang w:val="en-US" w:eastAsia="zh-CN"/>
        </w:rPr>
        <w:t>多</w:t>
      </w:r>
      <w:r>
        <w:rPr>
          <w:rFonts w:hint="default" w:ascii="国标宋体" w:hAnsi="国标宋体" w:eastAsia="国标宋体" w:cs="国标宋体"/>
          <w:sz w:val="28"/>
          <w:szCs w:val="28"/>
          <w:lang w:val="en-US" w:eastAsia="zh-CN"/>
        </w:rPr>
        <w:t>万亩，肉桂、巴戟等药材资源丰富，具备开发中医药康养产品的条件。政策层面，《云浮市关于推进基本养老服务体系建设实施方案和基本养老服务清单》推动养老服务高质量发展，2025年财政预算安排养老专项经费</w:t>
      </w:r>
      <w:r>
        <w:rPr>
          <w:rFonts w:hint="eastAsia" w:ascii="国标宋体" w:hAnsi="国标宋体" w:eastAsia="国标宋体" w:cs="国标宋体"/>
          <w:sz w:val="28"/>
          <w:szCs w:val="28"/>
          <w:lang w:val="en-US" w:eastAsia="zh-CN"/>
        </w:rPr>
        <w:t>786.42万</w:t>
      </w:r>
      <w:r>
        <w:rPr>
          <w:rFonts w:hint="default" w:ascii="国标宋体" w:hAnsi="国标宋体" w:eastAsia="国标宋体" w:cs="国标宋体"/>
          <w:sz w:val="28"/>
          <w:szCs w:val="28"/>
          <w:lang w:val="en-US" w:eastAsia="zh-CN"/>
        </w:rPr>
        <w:t>元</w:t>
      </w:r>
      <w:r>
        <w:rPr>
          <w:rFonts w:hint="eastAsia" w:ascii="国标宋体" w:hAnsi="国标宋体" w:eastAsia="国标宋体" w:cs="国标宋体"/>
          <w:sz w:val="28"/>
          <w:szCs w:val="28"/>
          <w:lang w:val="en-US" w:eastAsia="zh-CN"/>
        </w:rPr>
        <w:t>（图3）</w:t>
      </w:r>
      <w:r>
        <w:rPr>
          <w:rFonts w:hint="default" w:ascii="国标宋体" w:hAnsi="国标宋体" w:eastAsia="国标宋体" w:cs="国标宋体"/>
          <w:sz w:val="28"/>
          <w:szCs w:val="28"/>
          <w:lang w:val="en-US" w:eastAsia="zh-CN"/>
        </w:rPr>
        <w:t>，重点支持</w:t>
      </w:r>
      <w:r>
        <w:rPr>
          <w:rFonts w:hint="eastAsia" w:ascii="国标宋体" w:hAnsi="国标宋体" w:eastAsia="国标宋体" w:cs="国标宋体"/>
          <w:sz w:val="28"/>
          <w:szCs w:val="28"/>
          <w:lang w:val="en-US" w:eastAsia="zh-CN"/>
        </w:rPr>
        <w:t>养老服务中心改造、老人护理服务</w:t>
      </w:r>
      <w:r>
        <w:rPr>
          <w:rFonts w:hint="default" w:ascii="国标宋体" w:hAnsi="国标宋体" w:eastAsia="国标宋体" w:cs="国标宋体"/>
          <w:sz w:val="28"/>
          <w:szCs w:val="28"/>
          <w:lang w:val="en-US" w:eastAsia="zh-CN"/>
        </w:rPr>
        <w:t>。全市已全市已建成51个镇（街）综合养老服务中心和167个村级居家和社区养老服务中心（站）</w:t>
      </w:r>
      <w:r>
        <w:rPr>
          <w:rFonts w:hint="eastAsia" w:ascii="国标宋体" w:hAnsi="国标宋体" w:eastAsia="国标宋体" w:cs="国标宋体"/>
          <w:sz w:val="28"/>
          <w:szCs w:val="28"/>
          <w:lang w:val="en-US" w:eastAsia="zh-CN"/>
        </w:rPr>
        <w:t>。引入优质养老服务运营企业6家</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同时培育云安区惠健社会工作服务中心等本土化运营机构6家</w:t>
      </w:r>
      <w:r>
        <w:rPr>
          <w:rFonts w:hint="default" w:ascii="国标宋体" w:hAnsi="国标宋体" w:eastAsia="国标宋体" w:cs="国标宋体"/>
          <w:sz w:val="28"/>
          <w:szCs w:val="28"/>
          <w:lang w:val="en-US" w:eastAsia="zh-CN"/>
        </w:rPr>
        <w:t>，形成“政府引导、社会参与”的产业发展格局。</w:t>
      </w:r>
    </w:p>
    <w:p w14:paraId="4D4A4AD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b/>
          <w:bCs/>
          <w:sz w:val="24"/>
          <w:szCs w:val="24"/>
          <w:lang w:val="en-US" w:eastAsia="zh-CN"/>
        </w:rPr>
      </w:pPr>
      <w:r>
        <w:drawing>
          <wp:anchor distT="0" distB="0" distL="114300" distR="114300" simplePos="0" relativeHeight="251660288" behindDoc="0" locked="0" layoutInCell="1" allowOverlap="1">
            <wp:simplePos x="0" y="0"/>
            <wp:positionH relativeFrom="column">
              <wp:posOffset>-98425</wp:posOffset>
            </wp:positionH>
            <wp:positionV relativeFrom="paragraph">
              <wp:posOffset>88900</wp:posOffset>
            </wp:positionV>
            <wp:extent cx="4949825" cy="2682240"/>
            <wp:effectExtent l="4445" t="4445" r="13970" b="10795"/>
            <wp:wrapSquare wrapText="bothSides"/>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6FFC577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Times New Roman"/>
          <w:sz w:val="24"/>
          <w:szCs w:val="24"/>
          <w:lang w:val="en-US" w:eastAsia="zh-CN"/>
        </w:rPr>
      </w:pPr>
    </w:p>
    <w:p w14:paraId="7468027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Times New Roman"/>
          <w:sz w:val="24"/>
          <w:szCs w:val="24"/>
          <w:lang w:val="en-US" w:eastAsia="zh-CN"/>
        </w:rPr>
      </w:pPr>
    </w:p>
    <w:p w14:paraId="71B951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Times New Roman"/>
          <w:sz w:val="24"/>
          <w:szCs w:val="24"/>
          <w:lang w:val="en-US" w:eastAsia="zh-CN"/>
        </w:rPr>
      </w:pPr>
    </w:p>
    <w:p w14:paraId="787F01A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Times New Roman"/>
          <w:sz w:val="24"/>
          <w:szCs w:val="24"/>
          <w:lang w:val="en-US" w:eastAsia="zh-CN"/>
        </w:rPr>
      </w:pPr>
    </w:p>
    <w:p w14:paraId="6DC87D6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Times New Roman"/>
          <w:sz w:val="24"/>
          <w:szCs w:val="24"/>
          <w:lang w:val="en-US" w:eastAsia="zh-CN"/>
        </w:rPr>
      </w:pPr>
    </w:p>
    <w:p w14:paraId="775519F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Times New Roman"/>
          <w:sz w:val="24"/>
          <w:szCs w:val="24"/>
          <w:lang w:val="en-US" w:eastAsia="zh-CN"/>
        </w:rPr>
      </w:pPr>
    </w:p>
    <w:p w14:paraId="154FE5D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9"/>
        <w:rPr>
          <w:rFonts w:hint="default" w:ascii="Times New Roman" w:hAnsi="Times New Roman" w:eastAsia="宋体" w:cs="Times New Roman"/>
          <w:b/>
          <w:bCs/>
          <w:sz w:val="24"/>
          <w:szCs w:val="24"/>
          <w:lang w:val="en-US" w:eastAsia="zh-CN"/>
        </w:rPr>
      </w:pPr>
    </w:p>
    <w:p w14:paraId="685EB42C">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default" w:ascii="Times New Roman" w:hAnsi="Times New Roman" w:eastAsia="宋体" w:cs="Times New Roman"/>
          <w:b/>
          <w:bCs/>
          <w:sz w:val="24"/>
          <w:szCs w:val="24"/>
          <w:lang w:val="en-US" w:eastAsia="zh-CN"/>
        </w:rPr>
      </w:pPr>
    </w:p>
    <w:p w14:paraId="56C811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图3 云浮市民政局2025年养老专项支出预算</w:t>
      </w:r>
    </w:p>
    <w:p w14:paraId="73EB785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数据来源：云浮市民政局2025年部门预算</w:t>
      </w:r>
    </w:p>
    <w:p w14:paraId="03A2674B">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9" w:name="_Toc320389351"/>
      <w:r>
        <w:rPr>
          <w:rFonts w:hint="default" w:ascii="国标黑体" w:hAnsi="国标黑体" w:eastAsia="国标黑体" w:cs="国标黑体"/>
          <w:b/>
          <w:bCs/>
          <w:sz w:val="30"/>
          <w:szCs w:val="30"/>
          <w:lang w:val="en-US" w:eastAsia="zh-CN"/>
        </w:rPr>
        <w:t>二、银发经济发展的核心问题剖析</w:t>
      </w:r>
      <w:bookmarkEnd w:id="9"/>
    </w:p>
    <w:p w14:paraId="69598805">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10" w:name="_Toc378823573"/>
      <w:r>
        <w:rPr>
          <w:rFonts w:hint="default" w:ascii="国标黑体" w:hAnsi="国标黑体" w:eastAsia="国标黑体" w:cs="国标黑体"/>
          <w:b/>
          <w:bCs/>
          <w:sz w:val="30"/>
          <w:szCs w:val="30"/>
          <w:lang w:val="en-US" w:eastAsia="zh-CN"/>
        </w:rPr>
        <w:t>（一）供需错配：服务供给与多元需求存在断层</w:t>
      </w:r>
      <w:bookmarkEnd w:id="10"/>
    </w:p>
    <w:p w14:paraId="5D4F560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调研发现</w:t>
      </w:r>
      <w:r>
        <w:rPr>
          <w:rFonts w:hint="eastAsia" w:ascii="国标宋体" w:hAnsi="国标宋体" w:eastAsia="国标宋体" w:cs="国标宋体"/>
          <w:sz w:val="28"/>
          <w:szCs w:val="28"/>
          <w:lang w:val="en-US" w:eastAsia="zh-CN"/>
        </w:rPr>
        <w:t>（表2）</w:t>
      </w:r>
      <w:r>
        <w:rPr>
          <w:rFonts w:hint="default" w:ascii="国标宋体" w:hAnsi="国标宋体" w:eastAsia="国标宋体" w:cs="国标宋体"/>
          <w:sz w:val="28"/>
          <w:szCs w:val="28"/>
          <w:lang w:val="en-US" w:eastAsia="zh-CN"/>
        </w:rPr>
        <w:t>，云浮市养老服务供给呈现“城镇高端化、农村缺标准化”特征：城区养老机构中，中高端民办养老机构入住率高（超90%），但普惠型床位占比低，居家养老服务站覆盖比例达81%；农村养老服务呈现公办养老机构入住率低，且养老服务覆盖率低，留守老人主要依赖子女汇款和</w:t>
      </w:r>
      <w:r>
        <w:rPr>
          <w:rFonts w:hint="eastAsia" w:ascii="国标宋体" w:hAnsi="国标宋体" w:eastAsia="国标宋体" w:cs="国标宋体"/>
          <w:sz w:val="28"/>
          <w:szCs w:val="28"/>
          <w:lang w:val="en-US" w:eastAsia="zh-CN"/>
        </w:rPr>
        <w:t>诊所就医</w:t>
      </w:r>
      <w:r>
        <w:rPr>
          <w:rFonts w:hint="default" w:ascii="国标宋体" w:hAnsi="国标宋体" w:eastAsia="国标宋体" w:cs="国标宋体"/>
          <w:sz w:val="28"/>
          <w:szCs w:val="28"/>
          <w:lang w:val="en-US" w:eastAsia="zh-CN"/>
        </w:rPr>
        <w:t>，康复护理、心理慰藉等服务严重缺失。产品供给方面，市场上老年用品以轮椅、助行器等基础辅具为主，智能穿戴设备、适老化智能家居等科技产品渗透率低，且存在“操作复杂、售后服务不足”等问题。访谈中，72岁的李女士表示：“想找一款</w:t>
      </w:r>
      <w:r>
        <w:rPr>
          <w:rFonts w:hint="eastAsia" w:ascii="国标宋体" w:hAnsi="国标宋体" w:eastAsia="国标宋体" w:cs="国标宋体"/>
          <w:sz w:val="28"/>
          <w:szCs w:val="28"/>
          <w:lang w:val="en-US" w:eastAsia="zh-CN"/>
        </w:rPr>
        <w:t>健康监测智能</w:t>
      </w:r>
      <w:r>
        <w:rPr>
          <w:rFonts w:hint="default" w:ascii="国标宋体" w:hAnsi="国标宋体" w:eastAsia="国标宋体" w:cs="国标宋体"/>
          <w:sz w:val="28"/>
          <w:szCs w:val="28"/>
          <w:lang w:val="en-US" w:eastAsia="zh-CN"/>
        </w:rPr>
        <w:t>手表，但</w:t>
      </w:r>
      <w:r>
        <w:rPr>
          <w:rFonts w:hint="eastAsia" w:ascii="国标宋体" w:hAnsi="国标宋体" w:eastAsia="国标宋体" w:cs="国标宋体"/>
          <w:sz w:val="28"/>
          <w:szCs w:val="28"/>
          <w:lang w:val="en-US" w:eastAsia="zh-CN"/>
        </w:rPr>
        <w:t>不能熟练使用</w:t>
      </w:r>
      <w:r>
        <w:rPr>
          <w:rFonts w:hint="default" w:ascii="国标宋体" w:hAnsi="国标宋体" w:eastAsia="国标宋体" w:cs="国标宋体"/>
          <w:sz w:val="28"/>
          <w:szCs w:val="28"/>
          <w:lang w:val="en-US" w:eastAsia="zh-CN"/>
        </w:rPr>
        <w:t>，需要子女协助操作。”</w:t>
      </w:r>
    </w:p>
    <w:p w14:paraId="33DEF09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p>
    <w:p w14:paraId="77B3A13B">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sz w:val="21"/>
          <w:szCs w:val="21"/>
          <w:lang w:val="en-US" w:eastAsia="zh-CN"/>
        </w:rPr>
      </w:pPr>
      <w:r>
        <w:rPr>
          <w:rFonts w:hint="eastAsia" w:ascii="宋体" w:hAnsi="宋体" w:eastAsia="宋体" w:cs="宋体"/>
          <w:b/>
          <w:bCs/>
          <w:sz w:val="21"/>
          <w:szCs w:val="21"/>
          <w:lang w:val="en-US" w:eastAsia="zh-CN"/>
        </w:rPr>
        <w:t>表2 云浮市养老服务供给调研现状</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3456"/>
        <w:gridCol w:w="3037"/>
      </w:tblGrid>
      <w:tr w14:paraId="4C064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Align w:val="center"/>
          </w:tcPr>
          <w:p w14:paraId="202E4E8D">
            <w:pPr>
              <w:keepNext w:val="0"/>
              <w:keepLines w:val="0"/>
              <w:widowControl/>
              <w:suppressLineNumbers w:val="0"/>
              <w:spacing w:line="280" w:lineRule="atLeast"/>
              <w:jc w:val="center"/>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b/>
                <w:bCs/>
                <w:i w:val="0"/>
                <w:iCs w:val="0"/>
                <w:caps w:val="0"/>
                <w:color w:val="000000"/>
                <w:spacing w:val="0"/>
                <w:kern w:val="0"/>
                <w:sz w:val="21"/>
                <w:szCs w:val="21"/>
                <w:lang w:val="en-US" w:eastAsia="zh-CN" w:bidi="ar"/>
              </w:rPr>
              <w:t>数据分类</w:t>
            </w:r>
          </w:p>
        </w:tc>
        <w:tc>
          <w:tcPr>
            <w:tcW w:w="3456" w:type="dxa"/>
            <w:vAlign w:val="center"/>
          </w:tcPr>
          <w:p w14:paraId="401BA294">
            <w:pPr>
              <w:keepNext w:val="0"/>
              <w:keepLines w:val="0"/>
              <w:widowControl/>
              <w:suppressLineNumbers w:val="0"/>
              <w:spacing w:line="280" w:lineRule="atLeast"/>
              <w:jc w:val="center"/>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b/>
                <w:bCs/>
                <w:i w:val="0"/>
                <w:iCs w:val="0"/>
                <w:caps w:val="0"/>
                <w:color w:val="000000"/>
                <w:spacing w:val="0"/>
                <w:kern w:val="0"/>
                <w:sz w:val="21"/>
                <w:szCs w:val="21"/>
                <w:lang w:val="en-US" w:eastAsia="zh-CN" w:bidi="ar"/>
              </w:rPr>
              <w:t>具体指标</w:t>
            </w:r>
          </w:p>
        </w:tc>
        <w:tc>
          <w:tcPr>
            <w:tcW w:w="3037" w:type="dxa"/>
            <w:vAlign w:val="center"/>
          </w:tcPr>
          <w:p w14:paraId="7F9802C8">
            <w:pPr>
              <w:keepNext w:val="0"/>
              <w:keepLines w:val="0"/>
              <w:widowControl/>
              <w:suppressLineNumbers w:val="0"/>
              <w:spacing w:line="280" w:lineRule="atLeast"/>
              <w:jc w:val="center"/>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b/>
                <w:bCs/>
                <w:i w:val="0"/>
                <w:iCs w:val="0"/>
                <w:caps w:val="0"/>
                <w:color w:val="000000"/>
                <w:spacing w:val="0"/>
                <w:kern w:val="0"/>
                <w:sz w:val="21"/>
                <w:szCs w:val="21"/>
                <w:lang w:val="en-US" w:eastAsia="zh-CN" w:bidi="ar"/>
              </w:rPr>
              <w:t>数据详情</w:t>
            </w:r>
          </w:p>
        </w:tc>
      </w:tr>
      <w:tr w14:paraId="779E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restart"/>
            <w:vAlign w:val="center"/>
          </w:tcPr>
          <w:p w14:paraId="0B81FDF2">
            <w:pPr>
              <w:keepNext w:val="0"/>
              <w:keepLines w:val="0"/>
              <w:widowControl/>
              <w:suppressLineNumbers w:val="0"/>
              <w:spacing w:line="280" w:lineRule="atLeast"/>
              <w:jc w:val="left"/>
              <w:rPr>
                <w:rFonts w:hint="eastAsia" w:asciiTheme="majorEastAsia" w:hAnsiTheme="majorEastAsia" w:eastAsiaTheme="majorEastAsia" w:cstheme="majorEastAsia"/>
                <w:sz w:val="21"/>
                <w:szCs w:val="21"/>
                <w:vertAlign w:val="baseline"/>
                <w:lang w:val="en-US" w:eastAsia="zh-CN"/>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城镇养老服务</w:t>
            </w:r>
          </w:p>
        </w:tc>
        <w:tc>
          <w:tcPr>
            <w:tcW w:w="3456" w:type="dxa"/>
            <w:vAlign w:val="center"/>
          </w:tcPr>
          <w:p w14:paraId="37AAB0B0">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中高端民办养老机构入住率</w:t>
            </w:r>
          </w:p>
        </w:tc>
        <w:tc>
          <w:tcPr>
            <w:tcW w:w="3037" w:type="dxa"/>
            <w:vAlign w:val="center"/>
          </w:tcPr>
          <w:p w14:paraId="56EA0DDD">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＞90%（月均收费 3500元以上）</w:t>
            </w:r>
          </w:p>
        </w:tc>
      </w:tr>
      <w:tr w14:paraId="6153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continue"/>
            <w:vAlign w:val="center"/>
          </w:tcPr>
          <w:p w14:paraId="5D50D5E7">
            <w:pPr>
              <w:jc w:val="left"/>
              <w:rPr>
                <w:rFonts w:hint="eastAsia" w:asciiTheme="majorEastAsia" w:hAnsiTheme="majorEastAsia" w:eastAsiaTheme="majorEastAsia" w:cstheme="majorEastAsia"/>
                <w:sz w:val="21"/>
                <w:szCs w:val="21"/>
                <w:vertAlign w:val="baseline"/>
                <w:lang w:val="en-US" w:eastAsia="zh-CN"/>
              </w:rPr>
            </w:pPr>
          </w:p>
        </w:tc>
        <w:tc>
          <w:tcPr>
            <w:tcW w:w="3456" w:type="dxa"/>
            <w:vAlign w:val="center"/>
          </w:tcPr>
          <w:p w14:paraId="5B3DE248">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普惠型床位占比</w:t>
            </w:r>
          </w:p>
        </w:tc>
        <w:tc>
          <w:tcPr>
            <w:tcW w:w="3037" w:type="dxa"/>
            <w:vAlign w:val="center"/>
          </w:tcPr>
          <w:p w14:paraId="3454F845">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＜20%（月均收费3000元以下）</w:t>
            </w:r>
          </w:p>
        </w:tc>
      </w:tr>
      <w:tr w14:paraId="2CFF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continue"/>
            <w:vAlign w:val="center"/>
          </w:tcPr>
          <w:p w14:paraId="03B033D1">
            <w:pPr>
              <w:jc w:val="left"/>
              <w:rPr>
                <w:rFonts w:hint="eastAsia" w:asciiTheme="majorEastAsia" w:hAnsiTheme="majorEastAsia" w:eastAsiaTheme="majorEastAsia" w:cstheme="majorEastAsia"/>
                <w:sz w:val="21"/>
                <w:szCs w:val="21"/>
                <w:vertAlign w:val="baseline"/>
                <w:lang w:val="en-US" w:eastAsia="zh-CN"/>
              </w:rPr>
            </w:pPr>
          </w:p>
        </w:tc>
        <w:tc>
          <w:tcPr>
            <w:tcW w:w="3456" w:type="dxa"/>
            <w:vAlign w:val="center"/>
          </w:tcPr>
          <w:p w14:paraId="0FB74567">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居家养老服务站覆盖镇（街）比例</w:t>
            </w:r>
          </w:p>
        </w:tc>
        <w:tc>
          <w:tcPr>
            <w:tcW w:w="3037" w:type="dxa"/>
            <w:vAlign w:val="center"/>
          </w:tcPr>
          <w:p w14:paraId="1F7ACE6A">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81%</w:t>
            </w:r>
          </w:p>
        </w:tc>
      </w:tr>
      <w:tr w14:paraId="57A8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restart"/>
            <w:vAlign w:val="center"/>
          </w:tcPr>
          <w:p w14:paraId="1675C899">
            <w:pPr>
              <w:keepNext w:val="0"/>
              <w:keepLines w:val="0"/>
              <w:widowControl/>
              <w:suppressLineNumbers w:val="0"/>
              <w:spacing w:line="280" w:lineRule="atLeast"/>
              <w:jc w:val="left"/>
              <w:rPr>
                <w:rFonts w:hint="eastAsia" w:asciiTheme="majorEastAsia" w:hAnsiTheme="majorEastAsia" w:eastAsiaTheme="majorEastAsia" w:cstheme="majorEastAsia"/>
                <w:sz w:val="21"/>
                <w:szCs w:val="21"/>
                <w:vertAlign w:val="baseline"/>
                <w:lang w:val="en-US" w:eastAsia="zh-CN"/>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农村养老服务</w:t>
            </w:r>
          </w:p>
        </w:tc>
        <w:tc>
          <w:tcPr>
            <w:tcW w:w="3456" w:type="dxa"/>
            <w:vAlign w:val="center"/>
          </w:tcPr>
          <w:p w14:paraId="72E3E709">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公办养老机构入住率</w:t>
            </w:r>
          </w:p>
        </w:tc>
        <w:tc>
          <w:tcPr>
            <w:tcW w:w="3037" w:type="dxa"/>
            <w:vAlign w:val="center"/>
          </w:tcPr>
          <w:p w14:paraId="7EF1A447">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＜25%</w:t>
            </w:r>
          </w:p>
        </w:tc>
      </w:tr>
      <w:tr w14:paraId="5475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continue"/>
            <w:vAlign w:val="center"/>
          </w:tcPr>
          <w:p w14:paraId="7B4FFE8C">
            <w:pPr>
              <w:jc w:val="left"/>
              <w:rPr>
                <w:rFonts w:hint="eastAsia" w:asciiTheme="majorEastAsia" w:hAnsiTheme="majorEastAsia" w:eastAsiaTheme="majorEastAsia" w:cstheme="majorEastAsia"/>
                <w:sz w:val="21"/>
                <w:szCs w:val="21"/>
                <w:vertAlign w:val="baseline"/>
                <w:lang w:val="en-US" w:eastAsia="zh-CN"/>
              </w:rPr>
            </w:pPr>
          </w:p>
        </w:tc>
        <w:tc>
          <w:tcPr>
            <w:tcW w:w="3456" w:type="dxa"/>
            <w:vAlign w:val="center"/>
          </w:tcPr>
          <w:p w14:paraId="7B0F794D">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居家养老服务站覆盖村比例</w:t>
            </w:r>
          </w:p>
        </w:tc>
        <w:tc>
          <w:tcPr>
            <w:tcW w:w="3037" w:type="dxa"/>
            <w:vAlign w:val="center"/>
          </w:tcPr>
          <w:p w14:paraId="5D4871D8">
            <w:pPr>
              <w:keepNext w:val="0"/>
              <w:keepLines w:val="0"/>
              <w:widowControl/>
              <w:suppressLineNumbers w:val="0"/>
              <w:spacing w:line="280" w:lineRule="atLeast"/>
              <w:jc w:val="left"/>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pPr>
            <w:r>
              <w:rPr>
                <w:rStyle w:val="7"/>
                <w:rFonts w:hint="eastAsia" w:asciiTheme="majorEastAsia" w:hAnsiTheme="majorEastAsia" w:eastAsiaTheme="majorEastAsia" w:cstheme="majorEastAsia"/>
                <w:b/>
                <w:bCs/>
                <w:i w:val="0"/>
                <w:iCs w:val="0"/>
                <w:caps w:val="0"/>
                <w:color w:val="000000"/>
                <w:spacing w:val="0"/>
                <w:kern w:val="0"/>
                <w:sz w:val="21"/>
                <w:szCs w:val="21"/>
                <w:lang w:val="en-US" w:eastAsia="zh-CN" w:bidi="ar"/>
              </w:rPr>
              <w:t>20%（即 80% 的村未建立）</w:t>
            </w:r>
          </w:p>
        </w:tc>
      </w:tr>
    </w:tbl>
    <w:p w14:paraId="51AA2359">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11" w:name="_Toc1145610066"/>
      <w:r>
        <w:rPr>
          <w:rFonts w:hint="default" w:ascii="国标黑体" w:hAnsi="国标黑体" w:eastAsia="国标黑体" w:cs="国标黑体"/>
          <w:b/>
          <w:bCs/>
          <w:sz w:val="30"/>
          <w:szCs w:val="30"/>
          <w:lang w:val="en-US" w:eastAsia="zh-CN"/>
        </w:rPr>
        <w:t>（二）协同不足：产业融合与资源整合效率待提升</w:t>
      </w:r>
      <w:bookmarkEnd w:id="11"/>
    </w:p>
    <w:p w14:paraId="2E938B6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当前云浮市银发经济相关产业仍处于分散发展阶段，医疗、文旅、制造等领域尚未形成协同效应。以生态康养为例，部分景区虽推出“老年旅游套餐”，但缺乏与本地中医院、康复机构的合作，难以提供“医疗+旅居+康复”一体化服务；石材企业尚未涉足适老化家居定制</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南药产业停留在中药材种植层面，</w:t>
      </w:r>
      <w:r>
        <w:rPr>
          <w:rFonts w:hint="eastAsia" w:ascii="国标宋体" w:hAnsi="国标宋体" w:eastAsia="国标宋体" w:cs="国标宋体"/>
          <w:sz w:val="28"/>
          <w:szCs w:val="28"/>
          <w:lang w:val="en-US" w:eastAsia="zh-CN"/>
        </w:rPr>
        <w:t>较少开发</w:t>
      </w:r>
      <w:r>
        <w:rPr>
          <w:rFonts w:hint="default" w:ascii="国标宋体" w:hAnsi="国标宋体" w:eastAsia="国标宋体" w:cs="国标宋体"/>
          <w:sz w:val="28"/>
          <w:szCs w:val="28"/>
          <w:lang w:val="en-US" w:eastAsia="zh-CN"/>
        </w:rPr>
        <w:t>针对老年人的保健食品、理疗产品。</w:t>
      </w:r>
      <w:r>
        <w:rPr>
          <w:rFonts w:hint="eastAsia" w:ascii="国标宋体" w:hAnsi="国标宋体" w:eastAsia="国标宋体" w:cs="国标宋体"/>
          <w:sz w:val="28"/>
          <w:szCs w:val="28"/>
          <w:lang w:val="en-US" w:eastAsia="zh-CN"/>
        </w:rPr>
        <w:t>另一方面，</w:t>
      </w:r>
      <w:r>
        <w:rPr>
          <w:rFonts w:hint="default" w:ascii="国标宋体" w:hAnsi="国标宋体" w:eastAsia="国标宋体" w:cs="国标宋体"/>
          <w:sz w:val="28"/>
          <w:szCs w:val="28"/>
          <w:lang w:val="en-US" w:eastAsia="zh-CN"/>
        </w:rPr>
        <w:t>跨部门协作机制尚未完善</w:t>
      </w:r>
      <w:r>
        <w:rPr>
          <w:rFonts w:hint="eastAsia" w:ascii="国标宋体" w:hAnsi="国标宋体" w:eastAsia="国标宋体" w:cs="国标宋体"/>
          <w:sz w:val="28"/>
          <w:szCs w:val="28"/>
          <w:lang w:val="en-US" w:eastAsia="zh-CN"/>
        </w:rPr>
        <w:t>。据调研显示，</w:t>
      </w:r>
      <w:r>
        <w:rPr>
          <w:rFonts w:hint="default" w:ascii="国标宋体" w:hAnsi="国标宋体" w:eastAsia="国标宋体" w:cs="国标宋体"/>
          <w:sz w:val="28"/>
          <w:szCs w:val="28"/>
          <w:lang w:val="en-US" w:eastAsia="zh-CN"/>
        </w:rPr>
        <w:t>80%的人认为“产业融合政策落地难”，主要原因是缺乏统一的行业标准和利益共享机制</w:t>
      </w:r>
      <w:r>
        <w:rPr>
          <w:rFonts w:hint="eastAsia" w:ascii="国标宋体" w:hAnsi="国标宋体" w:eastAsia="国标宋体" w:cs="国标宋体"/>
          <w:sz w:val="28"/>
          <w:szCs w:val="28"/>
          <w:lang w:val="en-US" w:eastAsia="zh-CN"/>
        </w:rPr>
        <w:t>，而这离不开跨部门的协同推进与统筹协调。</w:t>
      </w:r>
    </w:p>
    <w:p w14:paraId="503DB7B8">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12" w:name="_Toc447781434"/>
      <w:r>
        <w:rPr>
          <w:rFonts w:hint="default" w:ascii="国标黑体" w:hAnsi="国标黑体" w:eastAsia="国标黑体" w:cs="国标黑体"/>
          <w:b/>
          <w:bCs/>
          <w:sz w:val="30"/>
          <w:szCs w:val="30"/>
          <w:lang w:val="en-US" w:eastAsia="zh-CN"/>
        </w:rPr>
        <w:t>（三）数字鸿沟：老年人数字化适应与技术赋能滞后</w:t>
      </w:r>
      <w:bookmarkEnd w:id="12"/>
    </w:p>
    <w:p w14:paraId="45D9259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尽管老年群体智能设备拥有量增速较快，但使用过程存在诸多问题，如老年群体对数字支付存在恐惧心理</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65%对网购APP不会操作</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智能手环、健康监护等适老智能设备的使用，很多老年人表示“不方便”“不实用”</w:t>
      </w:r>
      <w:r>
        <w:rPr>
          <w:rFonts w:hint="eastAsia" w:ascii="国标宋体" w:hAnsi="国标宋体" w:eastAsia="国标宋体" w:cs="国标宋体"/>
          <w:sz w:val="28"/>
          <w:szCs w:val="28"/>
          <w:lang w:val="en-US" w:eastAsia="zh-CN"/>
        </w:rPr>
        <w:t>。另外，</w:t>
      </w:r>
      <w:r>
        <w:rPr>
          <w:rFonts w:hint="default" w:ascii="国标宋体" w:hAnsi="国标宋体" w:eastAsia="国标宋体" w:cs="国标宋体"/>
          <w:sz w:val="28"/>
          <w:szCs w:val="28"/>
          <w:lang w:val="en-US" w:eastAsia="zh-CN"/>
        </w:rPr>
        <w:t>智慧养老技术应用存在“政府</w:t>
      </w:r>
      <w:r>
        <w:rPr>
          <w:rFonts w:hint="eastAsia" w:ascii="国标宋体" w:hAnsi="国标宋体" w:eastAsia="国标宋体" w:cs="国标宋体"/>
          <w:sz w:val="28"/>
          <w:szCs w:val="28"/>
          <w:lang w:val="en-US" w:eastAsia="zh-CN"/>
        </w:rPr>
        <w:t>热</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市场冷</w:t>
      </w:r>
      <w:r>
        <w:rPr>
          <w:rFonts w:hint="default" w:ascii="国标宋体" w:hAnsi="国标宋体" w:eastAsia="国标宋体" w:cs="国标宋体"/>
          <w:sz w:val="28"/>
          <w:szCs w:val="28"/>
          <w:lang w:val="en-US" w:eastAsia="zh-CN"/>
        </w:rPr>
        <w:t>”的矛盾现象，因为全市已构建居家社区养老信息化服务平台，但是更多的是政府监督的必要性，老年群体对平台的利用率低，主要原因是数据库中老年人信息覆盖面广度不够大、宣传力度</w:t>
      </w:r>
      <w:r>
        <w:rPr>
          <w:rFonts w:hint="eastAsia" w:ascii="国标宋体" w:hAnsi="国标宋体" w:eastAsia="国标宋体" w:cs="国标宋体"/>
          <w:sz w:val="28"/>
          <w:szCs w:val="28"/>
          <w:lang w:val="en-US" w:eastAsia="zh-CN"/>
        </w:rPr>
        <w:t>小</w:t>
      </w:r>
      <w:r>
        <w:rPr>
          <w:rFonts w:hint="default" w:ascii="国标宋体" w:hAnsi="国标宋体" w:eastAsia="国标宋体" w:cs="国标宋体"/>
          <w:sz w:val="28"/>
          <w:szCs w:val="28"/>
          <w:lang w:val="en-US" w:eastAsia="zh-CN"/>
        </w:rPr>
        <w:t>，操作不方便。可以看到，技术支持力度的欠缺，不但降低了服务水平，影响了数字技术向老年群体使用的程度，更阻碍了老龄经济向“精准型、个性化”转化。</w:t>
      </w:r>
    </w:p>
    <w:p w14:paraId="24773B94">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13" w:name="_Toc945455202"/>
      <w:r>
        <w:rPr>
          <w:rFonts w:hint="default" w:ascii="国标黑体" w:hAnsi="国标黑体" w:eastAsia="国标黑体" w:cs="国标黑体"/>
          <w:b/>
          <w:bCs/>
          <w:sz w:val="30"/>
          <w:szCs w:val="30"/>
          <w:lang w:val="en-US" w:eastAsia="zh-CN"/>
        </w:rPr>
        <w:t>三、国内外银发经济发展经验借鉴</w:t>
      </w:r>
      <w:bookmarkEnd w:id="13"/>
    </w:p>
    <w:p w14:paraId="39A1CFFE">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14" w:name="_Toc1560232074"/>
      <w:r>
        <w:rPr>
          <w:rFonts w:hint="default" w:ascii="国标黑体" w:hAnsi="国标黑体" w:eastAsia="国标黑体" w:cs="国标黑体"/>
          <w:b/>
          <w:bCs/>
          <w:sz w:val="30"/>
          <w:szCs w:val="30"/>
          <w:lang w:val="en-US" w:eastAsia="zh-CN"/>
        </w:rPr>
        <w:t>（一）日本：社区整合照护与适老化产品创新</w:t>
      </w:r>
      <w:bookmarkEnd w:id="14"/>
    </w:p>
    <w:p w14:paraId="25F4976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日本老龄化率世界第一，其“社区综合照护体系”把医疗、护理、生活融于社区，老年人可挑选上门照护、日间照料等项目，政府给予一定的补贴。日本企业在适老化产品设计上强调“人性化＋智能化”的产品设计，松下的“银发智能住宅”产品集成了跌落检测、照明、健康管理等功能。其经验就是“政策托底＋市场细分”。一方面满足低端的、基本的养老需求，另一方面以技术进步来创造和释放新的消费群体。</w:t>
      </w:r>
    </w:p>
    <w:p w14:paraId="73E8FFAF">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1"/>
        <w:rPr>
          <w:rFonts w:hint="default" w:ascii="Times New Roman" w:hAnsi="Times New Roman" w:eastAsia="仿宋" w:cs="Times New Roman"/>
          <w:b/>
          <w:bCs/>
          <w:sz w:val="28"/>
          <w:szCs w:val="28"/>
          <w:lang w:val="en-US" w:eastAsia="zh-CN"/>
        </w:rPr>
      </w:pPr>
      <w:bookmarkStart w:id="15" w:name="_Toc1635622199"/>
      <w:r>
        <w:rPr>
          <w:rFonts w:hint="default" w:ascii="国标黑体" w:hAnsi="国标黑体" w:eastAsia="国标黑体" w:cs="国标黑体"/>
          <w:b/>
          <w:bCs/>
          <w:sz w:val="30"/>
          <w:szCs w:val="30"/>
          <w:lang w:val="en-US" w:eastAsia="zh-CN"/>
        </w:rPr>
        <w:t>（二）成都：社区嵌入式服务与“</w:t>
      </w:r>
      <w:r>
        <w:rPr>
          <w:rFonts w:hint="eastAsia" w:ascii="国标黑体" w:hAnsi="国标黑体" w:eastAsia="国标黑体" w:cs="国标黑体"/>
          <w:b/>
          <w:bCs/>
          <w:sz w:val="30"/>
          <w:szCs w:val="30"/>
          <w:lang w:val="en-US" w:eastAsia="zh-CN"/>
        </w:rPr>
        <w:t>本土产业协同</w:t>
      </w:r>
      <w:r>
        <w:rPr>
          <w:rFonts w:hint="default" w:ascii="国标黑体" w:hAnsi="国标黑体" w:eastAsia="国标黑体" w:cs="国标黑体"/>
          <w:b/>
          <w:bCs/>
          <w:sz w:val="30"/>
          <w:szCs w:val="30"/>
          <w:lang w:val="en-US" w:eastAsia="zh-CN"/>
        </w:rPr>
        <w:t>”模式</w:t>
      </w:r>
      <w:bookmarkEnd w:id="15"/>
    </w:p>
    <w:p w14:paraId="3A54FBD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成都市以“15分钟养老服务圈”为目标，在社区内建设小型养老机构、日间照料中心，实现“机构养老社区化、社区服务专业化”。在产业协同方面，成都依托中医药产业优势，打造“中医康养社区”，将针灸理疗、膳食调理融入养老服务，形成“医疗+养老+文化”融合发展路径。其经验启示在于“小而精的社区服务”与“本土化产业结合”，</w:t>
      </w:r>
      <w:r>
        <w:rPr>
          <w:rFonts w:hint="eastAsia" w:ascii="国标宋体" w:hAnsi="国标宋体" w:eastAsia="国标宋体" w:cs="国标宋体"/>
          <w:sz w:val="28"/>
          <w:szCs w:val="28"/>
          <w:lang w:val="en-US" w:eastAsia="zh-CN"/>
        </w:rPr>
        <w:t>为有石材、南药等特色产业的云浮提供了可借鉴的实践路径</w:t>
      </w:r>
      <w:r>
        <w:rPr>
          <w:rFonts w:hint="default" w:ascii="国标宋体" w:hAnsi="国标宋体" w:eastAsia="国标宋体" w:cs="国标宋体"/>
          <w:sz w:val="28"/>
          <w:szCs w:val="28"/>
          <w:lang w:val="en-US" w:eastAsia="zh-CN"/>
        </w:rPr>
        <w:t>。</w:t>
      </w:r>
    </w:p>
    <w:p w14:paraId="669DA57E">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1"/>
        <w:rPr>
          <w:rFonts w:hint="default" w:ascii="国标黑体" w:hAnsi="国标黑体" w:eastAsia="国标黑体" w:cs="国标黑体"/>
          <w:b/>
          <w:bCs/>
          <w:sz w:val="30"/>
          <w:szCs w:val="30"/>
          <w:lang w:val="en-US" w:eastAsia="zh-CN"/>
        </w:rPr>
      </w:pPr>
      <w:bookmarkStart w:id="16" w:name="_Toc1868452126"/>
      <w:r>
        <w:rPr>
          <w:rFonts w:hint="default" w:ascii="国标黑体" w:hAnsi="国标黑体" w:eastAsia="国标黑体" w:cs="国标黑体"/>
          <w:b/>
          <w:bCs/>
          <w:sz w:val="30"/>
          <w:szCs w:val="30"/>
          <w:lang w:val="en-US" w:eastAsia="zh-CN"/>
        </w:rPr>
        <w:t>（三）烟台：老年教育赋能与就业对接机制</w:t>
      </w:r>
      <w:bookmarkEnd w:id="16"/>
    </w:p>
    <w:p w14:paraId="093114A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烟台市针对低龄老人“有精力、有技能”的特点，</w:t>
      </w:r>
      <w:r>
        <w:rPr>
          <w:rFonts w:hint="eastAsia" w:ascii="国标宋体" w:hAnsi="国标宋体" w:eastAsia="国标宋体" w:cs="国标宋体"/>
          <w:sz w:val="28"/>
          <w:szCs w:val="28"/>
          <w:lang w:val="en-US" w:eastAsia="zh-CN"/>
        </w:rPr>
        <w:t>为</w:t>
      </w:r>
      <w:r>
        <w:rPr>
          <w:rFonts w:hint="default" w:ascii="国标宋体" w:hAnsi="国标宋体" w:eastAsia="国标宋体" w:cs="国标宋体"/>
          <w:sz w:val="28"/>
          <w:szCs w:val="28"/>
          <w:lang w:val="en-US" w:eastAsia="zh-CN"/>
        </w:rPr>
        <w:t>老年人才开发工作搭建了“两库一平台”：通过老年人才信息数据库、老年人才需求数据库、老年人才交流平台</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使老年人和需求企业实行有效的对接</w:t>
      </w:r>
      <w:r>
        <w:rPr>
          <w:rFonts w:hint="eastAsia" w:ascii="国标宋体" w:hAnsi="国标宋体" w:eastAsia="国标宋体" w:cs="国标宋体"/>
          <w:sz w:val="28"/>
          <w:szCs w:val="28"/>
          <w:lang w:val="en-US" w:eastAsia="zh-CN"/>
        </w:rPr>
        <w:t>，促使老年人再就业参与社会经济发展</w:t>
      </w:r>
      <w:r>
        <w:rPr>
          <w:rFonts w:hint="default" w:ascii="国标宋体" w:hAnsi="国标宋体" w:eastAsia="国标宋体" w:cs="国标宋体"/>
          <w:sz w:val="28"/>
          <w:szCs w:val="28"/>
          <w:lang w:val="en-US" w:eastAsia="zh-CN"/>
        </w:rPr>
        <w:t>。该模式的核心是变“养老负担”为“银发红利”，为</w:t>
      </w:r>
      <w:r>
        <w:rPr>
          <w:rFonts w:hint="eastAsia" w:ascii="国标宋体" w:hAnsi="国标宋体" w:eastAsia="国标宋体" w:cs="国标宋体"/>
          <w:sz w:val="28"/>
          <w:szCs w:val="28"/>
          <w:lang w:val="en-US" w:eastAsia="zh-CN"/>
        </w:rPr>
        <w:t>通过</w:t>
      </w:r>
      <w:r>
        <w:rPr>
          <w:rFonts w:hint="default" w:ascii="国标宋体" w:hAnsi="国标宋体" w:eastAsia="国标宋体" w:cs="国标宋体"/>
          <w:sz w:val="28"/>
          <w:szCs w:val="28"/>
          <w:lang w:val="en-US" w:eastAsia="zh-CN"/>
        </w:rPr>
        <w:t>“激活老年人力资源”</w:t>
      </w:r>
      <w:r>
        <w:rPr>
          <w:rFonts w:hint="eastAsia" w:ascii="国标宋体" w:hAnsi="国标宋体" w:eastAsia="国标宋体" w:cs="国标宋体"/>
          <w:sz w:val="28"/>
          <w:szCs w:val="28"/>
          <w:lang w:val="en-US" w:eastAsia="zh-CN"/>
        </w:rPr>
        <w:t>发展银发经济</w:t>
      </w:r>
      <w:r>
        <w:rPr>
          <w:rFonts w:hint="default" w:ascii="国标宋体" w:hAnsi="国标宋体" w:eastAsia="国标宋体" w:cs="国标宋体"/>
          <w:sz w:val="28"/>
          <w:szCs w:val="28"/>
          <w:lang w:val="en-US" w:eastAsia="zh-CN"/>
        </w:rPr>
        <w:t>提供了新思路。</w:t>
      </w:r>
    </w:p>
    <w:p w14:paraId="3A338C84">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1"/>
        <w:rPr>
          <w:rFonts w:hint="default" w:ascii="国标黑体" w:hAnsi="国标黑体" w:eastAsia="国标黑体" w:cs="国标黑体"/>
          <w:b/>
          <w:bCs/>
          <w:sz w:val="30"/>
          <w:szCs w:val="30"/>
          <w:lang w:val="en-US" w:eastAsia="zh-CN"/>
        </w:rPr>
      </w:pPr>
      <w:bookmarkStart w:id="17" w:name="_Toc285658026"/>
      <w:r>
        <w:rPr>
          <w:rFonts w:hint="default" w:ascii="国标黑体" w:hAnsi="国标黑体" w:eastAsia="国标黑体" w:cs="国标黑体"/>
          <w:b/>
          <w:bCs/>
          <w:sz w:val="30"/>
          <w:szCs w:val="30"/>
          <w:lang w:val="en-US" w:eastAsia="zh-CN"/>
        </w:rPr>
        <w:t>四、云浮市银发经济发展对策建议</w:t>
      </w:r>
      <w:bookmarkEnd w:id="17"/>
    </w:p>
    <w:p w14:paraId="35A204CE">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1"/>
        <w:rPr>
          <w:rFonts w:hint="default" w:ascii="国标黑体" w:hAnsi="国标黑体" w:eastAsia="国标黑体" w:cs="国标黑体"/>
          <w:b/>
          <w:bCs/>
          <w:sz w:val="30"/>
          <w:szCs w:val="30"/>
          <w:lang w:val="en-US" w:eastAsia="zh-CN"/>
        </w:rPr>
      </w:pPr>
      <w:bookmarkStart w:id="18" w:name="_Toc1085933108"/>
      <w:r>
        <w:rPr>
          <w:rFonts w:hint="default" w:ascii="国标黑体" w:hAnsi="国标黑体" w:eastAsia="国标黑体" w:cs="国标黑体"/>
          <w:b/>
          <w:bCs/>
          <w:sz w:val="30"/>
          <w:szCs w:val="30"/>
          <w:lang w:val="en-US" w:eastAsia="zh-CN"/>
        </w:rPr>
        <w:t>（一）精准对接需求，构建分层分类服务体系</w:t>
      </w:r>
      <w:bookmarkEnd w:id="18"/>
    </w:p>
    <w:p w14:paraId="1916795D">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19" w:name="_Toc190087521"/>
      <w:r>
        <w:rPr>
          <w:rFonts w:hint="default" w:ascii="国标黑体" w:hAnsi="国标黑体" w:eastAsia="国标黑体" w:cs="国标黑体"/>
          <w:b/>
          <w:bCs/>
          <w:sz w:val="28"/>
          <w:szCs w:val="28"/>
          <w:lang w:val="en-US" w:eastAsia="zh-CN"/>
        </w:rPr>
        <w:t>1.打造“基础保障+品质提升”服务矩阵</w:t>
      </w:r>
      <w:bookmarkEnd w:id="19"/>
    </w:p>
    <w:p w14:paraId="451EFBC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针对农村留守老人和城镇困难群体，扩大适老化改造补贴范围，</w:t>
      </w:r>
      <w:r>
        <w:rPr>
          <w:rFonts w:hint="eastAsia" w:ascii="国标宋体" w:hAnsi="国标宋体" w:eastAsia="国标宋体" w:cs="国标宋体"/>
          <w:sz w:val="28"/>
          <w:szCs w:val="28"/>
          <w:lang w:val="en-US" w:eastAsia="zh-CN"/>
        </w:rPr>
        <w:t>从</w:t>
      </w:r>
      <w:r>
        <w:rPr>
          <w:rFonts w:hint="default" w:ascii="国标宋体" w:hAnsi="国标宋体" w:eastAsia="国标宋体" w:cs="国标宋体"/>
          <w:sz w:val="28"/>
          <w:szCs w:val="28"/>
          <w:lang w:val="en-US" w:eastAsia="zh-CN"/>
        </w:rPr>
        <w:t>实现特殊困难家庭改造全覆盖，逐步向普通家庭开放“政府补贴+市场化服务”模式；在城区试点“养老服务套餐”，整合医疗护理、康复理疗、文化娱乐等服务，提供</w:t>
      </w:r>
      <w:r>
        <w:rPr>
          <w:rFonts w:hint="eastAsia" w:ascii="国标宋体" w:hAnsi="国标宋体" w:eastAsia="国标宋体" w:cs="国标宋体"/>
          <w:sz w:val="28"/>
          <w:szCs w:val="28"/>
          <w:lang w:val="en-US" w:eastAsia="zh-CN"/>
        </w:rPr>
        <w:t>1800</w:t>
      </w:r>
      <w:r>
        <w:rPr>
          <w:rFonts w:hint="default" w:ascii="国标宋体" w:hAnsi="国标宋体" w:eastAsia="国标宋体" w:cs="国标宋体"/>
          <w:sz w:val="28"/>
          <w:szCs w:val="28"/>
          <w:lang w:val="en-US" w:eastAsia="zh-CN"/>
        </w:rPr>
        <w:t>元/月、</w:t>
      </w:r>
      <w:r>
        <w:rPr>
          <w:rFonts w:hint="eastAsia" w:ascii="国标宋体" w:hAnsi="国标宋体" w:eastAsia="国标宋体" w:cs="国标宋体"/>
          <w:sz w:val="28"/>
          <w:szCs w:val="28"/>
          <w:lang w:val="en-US" w:eastAsia="zh-CN"/>
        </w:rPr>
        <w:t>2500</w:t>
      </w:r>
      <w:r>
        <w:rPr>
          <w:rFonts w:hint="default" w:ascii="国标宋体" w:hAnsi="国标宋体" w:eastAsia="国标宋体" w:cs="国标宋体"/>
          <w:sz w:val="28"/>
          <w:szCs w:val="28"/>
          <w:lang w:val="en-US" w:eastAsia="zh-CN"/>
        </w:rPr>
        <w:t>元/月、</w:t>
      </w:r>
      <w:r>
        <w:rPr>
          <w:rFonts w:hint="eastAsia" w:ascii="国标宋体" w:hAnsi="国标宋体" w:eastAsia="国标宋体" w:cs="国标宋体"/>
          <w:sz w:val="28"/>
          <w:szCs w:val="28"/>
          <w:lang w:val="en-US" w:eastAsia="zh-CN"/>
        </w:rPr>
        <w:t>3000</w:t>
      </w:r>
      <w:r>
        <w:rPr>
          <w:rFonts w:hint="default" w:ascii="国标宋体" w:hAnsi="国标宋体" w:eastAsia="国标宋体" w:cs="国标宋体"/>
          <w:sz w:val="28"/>
          <w:szCs w:val="28"/>
          <w:lang w:val="en-US" w:eastAsia="zh-CN"/>
        </w:rPr>
        <w:t>元/月三档产品，满足不同消费能力需求。</w:t>
      </w:r>
    </w:p>
    <w:p w14:paraId="2132454F">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20" w:name="_Toc1965972132"/>
      <w:r>
        <w:rPr>
          <w:rFonts w:hint="default" w:ascii="国标黑体" w:hAnsi="国标黑体" w:eastAsia="国标黑体" w:cs="国标黑体"/>
          <w:b/>
          <w:bCs/>
          <w:sz w:val="28"/>
          <w:szCs w:val="28"/>
          <w:lang w:val="en-US" w:eastAsia="zh-CN"/>
        </w:rPr>
        <w:t>2.</w:t>
      </w:r>
      <w:r>
        <w:rPr>
          <w:rFonts w:hint="eastAsia" w:ascii="国标黑体" w:hAnsi="国标黑体" w:eastAsia="国标黑体" w:cs="国标黑体"/>
          <w:b/>
          <w:bCs/>
          <w:sz w:val="28"/>
          <w:szCs w:val="28"/>
          <w:lang w:val="en-US" w:eastAsia="zh-CN"/>
        </w:rPr>
        <w:t>深耕本土化产品，提供无忧售后服务</w:t>
      </w:r>
      <w:bookmarkEnd w:id="20"/>
    </w:p>
    <w:p w14:paraId="175511C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sz w:val="28"/>
          <w:szCs w:val="28"/>
          <w:lang w:val="en-US" w:eastAsia="zh-CN"/>
        </w:rPr>
      </w:pPr>
      <w:r>
        <w:rPr>
          <w:rFonts w:hint="default" w:ascii="国标宋体" w:hAnsi="国标宋体" w:eastAsia="国标宋体" w:cs="国标宋体"/>
          <w:sz w:val="28"/>
          <w:szCs w:val="28"/>
          <w:lang w:val="en-US" w:eastAsia="zh-CN"/>
        </w:rPr>
        <w:t>联合南药企业</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设计“银发游学”线路，融入手工体验、</w:t>
      </w:r>
      <w:r>
        <w:rPr>
          <w:rFonts w:hint="eastAsia" w:ascii="国标宋体" w:hAnsi="国标宋体" w:eastAsia="国标宋体" w:cs="国标宋体"/>
          <w:sz w:val="28"/>
          <w:szCs w:val="28"/>
          <w:lang w:val="en-US" w:eastAsia="zh-CN"/>
        </w:rPr>
        <w:t>中药</w:t>
      </w:r>
      <w:r>
        <w:rPr>
          <w:rFonts w:hint="default" w:ascii="国标宋体" w:hAnsi="国标宋体" w:eastAsia="国标宋体" w:cs="国标宋体"/>
          <w:sz w:val="28"/>
          <w:szCs w:val="28"/>
          <w:lang w:val="en-US" w:eastAsia="zh-CN"/>
        </w:rPr>
        <w:t>健康讲座等元素，推出</w:t>
      </w:r>
      <w:r>
        <w:rPr>
          <w:rFonts w:hint="eastAsia" w:ascii="国标宋体" w:hAnsi="国标宋体" w:eastAsia="国标宋体" w:cs="国标宋体"/>
          <w:sz w:val="28"/>
          <w:szCs w:val="28"/>
          <w:lang w:val="en-US" w:eastAsia="zh-CN"/>
        </w:rPr>
        <w:t>“巧手制中药香囊”手作体验课和</w:t>
      </w:r>
      <w:r>
        <w:rPr>
          <w:rFonts w:hint="default" w:ascii="国标宋体" w:hAnsi="国标宋体" w:eastAsia="国标宋体" w:cs="国标宋体"/>
          <w:sz w:val="28"/>
          <w:szCs w:val="28"/>
          <w:lang w:val="en-US" w:eastAsia="zh-CN"/>
        </w:rPr>
        <w:t>“药膳调理包”</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“中药热敷包”等康养产品</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打造“文化+体验+养生”一体化产品。</w:t>
      </w:r>
      <w:r>
        <w:rPr>
          <w:rFonts w:hint="eastAsia" w:ascii="国标宋体" w:hAnsi="国标宋体" w:eastAsia="国标宋体" w:cs="国标宋体"/>
          <w:sz w:val="28"/>
          <w:szCs w:val="28"/>
          <w:lang w:val="en-US" w:eastAsia="zh-CN"/>
        </w:rPr>
        <w:t>加强打造家装厨卫“焕新”居家适老化改造等活动极致的售后体验，让老年群体从选购到使用全程省心、安心、舒心。</w:t>
      </w:r>
    </w:p>
    <w:p w14:paraId="5696AA23">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21" w:name="_Toc768616213"/>
      <w:r>
        <w:rPr>
          <w:rFonts w:hint="default" w:ascii="国标黑体" w:hAnsi="国标黑体" w:eastAsia="国标黑体" w:cs="国标黑体"/>
          <w:b/>
          <w:bCs/>
          <w:sz w:val="28"/>
          <w:szCs w:val="28"/>
          <w:lang w:val="en-US" w:eastAsia="zh-CN"/>
        </w:rPr>
        <w:t>3.强化社区嵌入式服务供给</w:t>
      </w:r>
      <w:bookmarkEnd w:id="21"/>
    </w:p>
    <w:p w14:paraId="71D3AFE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eastAsia" w:ascii="国标宋体" w:hAnsi="国标宋体" w:eastAsia="国标宋体" w:cs="国标宋体"/>
          <w:sz w:val="28"/>
          <w:szCs w:val="28"/>
          <w:lang w:val="en-US" w:eastAsia="zh-CN"/>
        </w:rPr>
        <w:t>构建</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一刻钟养老生活圈</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在社区</w:t>
      </w:r>
      <w:r>
        <w:rPr>
          <w:rFonts w:hint="eastAsia" w:ascii="国标宋体" w:hAnsi="国标宋体" w:eastAsia="国标宋体" w:cs="国标宋体"/>
          <w:sz w:val="28"/>
          <w:szCs w:val="28"/>
          <w:lang w:val="en-US" w:eastAsia="zh-CN"/>
        </w:rPr>
        <w:t>设立</w:t>
      </w:r>
      <w:r>
        <w:rPr>
          <w:rFonts w:hint="default" w:ascii="国标宋体" w:hAnsi="国标宋体" w:eastAsia="国标宋体" w:cs="国标宋体"/>
          <w:sz w:val="28"/>
          <w:szCs w:val="28"/>
          <w:lang w:val="en-US" w:eastAsia="zh-CN"/>
        </w:rPr>
        <w:t>“一站式养老服务</w:t>
      </w:r>
      <w:r>
        <w:rPr>
          <w:rFonts w:hint="eastAsia" w:ascii="国标宋体" w:hAnsi="国标宋体" w:eastAsia="国标宋体" w:cs="国标宋体"/>
          <w:sz w:val="28"/>
          <w:szCs w:val="28"/>
          <w:lang w:val="en-US" w:eastAsia="zh-CN"/>
        </w:rPr>
        <w:t>站</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提供特色服务：日间托养、康复理疗、助餐配送等基础服务和代购代办、家政助洁等个性服务。同步推出银发暖心福利：发放惠普型养老服务消费券、推广享八折优惠的“银发专属包月服务卡”、子女为父母购买服务累积“孝心积分”兑换产品，让老人足不出门享受贴心的养老服务。</w:t>
      </w:r>
    </w:p>
    <w:p w14:paraId="0A03D84E">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22" w:name="_Toc90086446"/>
      <w:r>
        <w:rPr>
          <w:rFonts w:hint="default" w:ascii="国标黑体" w:hAnsi="国标黑体" w:eastAsia="国标黑体" w:cs="国标黑体"/>
          <w:b/>
          <w:bCs/>
          <w:sz w:val="30"/>
          <w:szCs w:val="30"/>
          <w:lang w:val="en-US" w:eastAsia="zh-CN"/>
        </w:rPr>
        <w:t>（二）深化产业协同，培育特色银发经济集群</w:t>
      </w:r>
      <w:bookmarkEnd w:id="22"/>
    </w:p>
    <w:p w14:paraId="7789C1A7">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23" w:name="_Toc1702853296"/>
      <w:r>
        <w:rPr>
          <w:rFonts w:hint="default" w:ascii="国标黑体" w:hAnsi="国标黑体" w:eastAsia="国标黑体" w:cs="国标黑体"/>
          <w:b/>
          <w:bCs/>
          <w:sz w:val="28"/>
          <w:szCs w:val="28"/>
          <w:lang w:val="en-US" w:eastAsia="zh-CN"/>
        </w:rPr>
        <w:t>1.推动“医养教”深度融合</w:t>
      </w:r>
      <w:bookmarkEnd w:id="23"/>
    </w:p>
    <w:p w14:paraId="503BA48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支持县级医院与养老机构共建“医养结合专区”，开通就医绿色通道，提供慢性病管理、康复护理等服务；依托云浮老年大学，</w:t>
      </w:r>
      <w:r>
        <w:rPr>
          <w:rFonts w:hint="eastAsia" w:ascii="国标宋体" w:hAnsi="国标宋体" w:eastAsia="国标宋体" w:cs="国标宋体"/>
          <w:sz w:val="28"/>
          <w:szCs w:val="28"/>
          <w:lang w:val="en-US" w:eastAsia="zh-CN"/>
        </w:rPr>
        <w:t>结合本地企业需求，</w:t>
      </w:r>
      <w:r>
        <w:rPr>
          <w:rFonts w:hint="default" w:ascii="国标宋体" w:hAnsi="国标宋体" w:eastAsia="国标宋体" w:cs="国标宋体"/>
          <w:sz w:val="28"/>
          <w:szCs w:val="28"/>
          <w:lang w:val="en-US" w:eastAsia="zh-CN"/>
        </w:rPr>
        <w:t>开设“</w:t>
      </w:r>
      <w:r>
        <w:rPr>
          <w:rFonts w:hint="eastAsia" w:ascii="国标宋体" w:hAnsi="国标宋体" w:eastAsia="国标宋体" w:cs="国标宋体"/>
          <w:sz w:val="28"/>
          <w:szCs w:val="28"/>
          <w:lang w:val="en-US" w:eastAsia="zh-CN"/>
        </w:rPr>
        <w:t>银龄职场充电站</w:t>
      </w:r>
      <w:r>
        <w:rPr>
          <w:rFonts w:hint="default" w:ascii="国标宋体" w:hAnsi="国标宋体" w:eastAsia="国标宋体" w:cs="国标宋体"/>
          <w:sz w:val="28"/>
          <w:szCs w:val="28"/>
          <w:lang w:val="en-US" w:eastAsia="zh-CN"/>
        </w:rPr>
        <w:t>”课堂,教授电商运营、手工制作等技能，联合本地企业</w:t>
      </w:r>
      <w:r>
        <w:rPr>
          <w:rFonts w:hint="eastAsia" w:ascii="国标宋体" w:hAnsi="国标宋体" w:eastAsia="国标宋体" w:cs="国标宋体"/>
          <w:sz w:val="28"/>
          <w:szCs w:val="28"/>
          <w:lang w:val="en-US" w:eastAsia="zh-CN"/>
        </w:rPr>
        <w:t>开展</w:t>
      </w:r>
      <w:r>
        <w:rPr>
          <w:rFonts w:hint="default" w:ascii="国标宋体" w:hAnsi="国标宋体" w:eastAsia="国标宋体" w:cs="国标宋体"/>
          <w:sz w:val="28"/>
          <w:szCs w:val="28"/>
          <w:lang w:val="en-US" w:eastAsia="zh-CN"/>
        </w:rPr>
        <w:t>“</w:t>
      </w:r>
      <w:r>
        <w:rPr>
          <w:rFonts w:hint="eastAsia" w:ascii="国标宋体" w:hAnsi="国标宋体" w:eastAsia="国标宋体" w:cs="国标宋体"/>
          <w:sz w:val="28"/>
          <w:szCs w:val="28"/>
          <w:lang w:val="en-US" w:eastAsia="zh-CN"/>
        </w:rPr>
        <w:t>企业银龄星光计划</w:t>
      </w:r>
      <w:r>
        <w:rPr>
          <w:rFonts w:hint="default" w:ascii="国标宋体" w:hAnsi="国标宋体" w:eastAsia="国标宋体" w:cs="国标宋体"/>
          <w:sz w:val="28"/>
          <w:szCs w:val="28"/>
          <w:lang w:val="en-US" w:eastAsia="zh-CN"/>
        </w:rPr>
        <w:t>”，鼓励低龄老人参与来料加工、社区服务等轻体力工作。</w:t>
      </w:r>
    </w:p>
    <w:p w14:paraId="60222F96">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24" w:name="_Toc447640370"/>
      <w:r>
        <w:rPr>
          <w:rFonts w:hint="default" w:ascii="国标黑体" w:hAnsi="国标黑体" w:eastAsia="国标黑体" w:cs="国标黑体"/>
          <w:b/>
          <w:bCs/>
          <w:sz w:val="28"/>
          <w:szCs w:val="28"/>
          <w:lang w:val="en-US" w:eastAsia="zh-CN"/>
        </w:rPr>
        <w:t>2.构建“生态+产业”融合发展模式</w:t>
      </w:r>
      <w:bookmarkEnd w:id="24"/>
    </w:p>
    <w:p w14:paraId="36F83A9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eastAsia" w:ascii="国标宋体" w:hAnsi="国标宋体" w:eastAsia="国标宋体" w:cs="国标宋体"/>
          <w:sz w:val="28"/>
          <w:szCs w:val="28"/>
          <w:lang w:val="en-US" w:eastAsia="zh-CN"/>
        </w:rPr>
        <w:t>借鉴老年人热衷“领鸡蛋”的消费热潮，创新转化为助力乡村振兴的营销模式，通过“免费领农货”活动打开乡村特色农产品销路，激活农村市场活力；</w:t>
      </w:r>
      <w:r>
        <w:rPr>
          <w:rFonts w:hint="default" w:ascii="国标宋体" w:hAnsi="国标宋体" w:eastAsia="国标宋体" w:cs="国标宋体"/>
          <w:sz w:val="28"/>
          <w:szCs w:val="28"/>
          <w:lang w:val="en-US" w:eastAsia="zh-CN"/>
        </w:rPr>
        <w:t>整合大云雾山、大王山国家森林公园等生态资源，打造“森林康养基地”，与本地中医院、康复机构的合作，</w:t>
      </w:r>
      <w:r>
        <w:rPr>
          <w:rFonts w:hint="eastAsia" w:ascii="国标宋体" w:hAnsi="国标宋体" w:eastAsia="国标宋体" w:cs="国标宋体"/>
          <w:sz w:val="28"/>
          <w:szCs w:val="28"/>
          <w:lang w:val="en-US" w:eastAsia="zh-CN"/>
        </w:rPr>
        <w:t>推出</w:t>
      </w:r>
      <w:r>
        <w:rPr>
          <w:rFonts w:hint="default" w:ascii="国标宋体" w:hAnsi="国标宋体" w:eastAsia="国标宋体" w:cs="国标宋体"/>
          <w:sz w:val="28"/>
          <w:szCs w:val="28"/>
          <w:lang w:val="en-US" w:eastAsia="zh-CN"/>
        </w:rPr>
        <w:t>中医理疗、森林</w:t>
      </w:r>
      <w:r>
        <w:rPr>
          <w:rFonts w:hint="eastAsia" w:ascii="国标宋体" w:hAnsi="国标宋体" w:eastAsia="国标宋体" w:cs="国标宋体"/>
          <w:sz w:val="28"/>
          <w:szCs w:val="28"/>
          <w:lang w:val="en-US" w:eastAsia="zh-CN"/>
        </w:rPr>
        <w:t>药浴</w:t>
      </w:r>
      <w:r>
        <w:rPr>
          <w:rFonts w:hint="default" w:ascii="国标宋体" w:hAnsi="国标宋体" w:eastAsia="国标宋体" w:cs="国标宋体"/>
          <w:sz w:val="28"/>
          <w:szCs w:val="28"/>
          <w:lang w:val="en-US" w:eastAsia="zh-CN"/>
        </w:rPr>
        <w:t>等</w:t>
      </w:r>
      <w:r>
        <w:rPr>
          <w:rFonts w:hint="eastAsia" w:ascii="国标宋体" w:hAnsi="国标宋体" w:eastAsia="国标宋体" w:cs="国标宋体"/>
          <w:sz w:val="28"/>
          <w:szCs w:val="28"/>
          <w:lang w:val="en-US" w:eastAsia="zh-CN"/>
        </w:rPr>
        <w:t>产品，</w:t>
      </w:r>
      <w:r>
        <w:rPr>
          <w:rFonts w:hint="default" w:ascii="国标宋体" w:hAnsi="国标宋体" w:eastAsia="国标宋体" w:cs="国标宋体"/>
          <w:sz w:val="28"/>
          <w:szCs w:val="28"/>
          <w:lang w:val="en-US" w:eastAsia="zh-CN"/>
        </w:rPr>
        <w:t>提供“医疗+旅居+康复”一体化服务；推动石材企业转型适老化家居定制，开发可升降厨房台面、无障碍卫浴设施等产品，建设“适老化家居展示体验中心”，促进产业向价值链中高端延伸。</w:t>
      </w:r>
    </w:p>
    <w:p w14:paraId="7331067D">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25" w:name="_Toc98975636"/>
      <w:r>
        <w:rPr>
          <w:rFonts w:hint="default" w:ascii="国标黑体" w:hAnsi="国标黑体" w:eastAsia="国标黑体" w:cs="国标黑体"/>
          <w:b/>
          <w:bCs/>
          <w:sz w:val="28"/>
          <w:szCs w:val="28"/>
          <w:lang w:val="en-US" w:eastAsia="zh-CN"/>
        </w:rPr>
        <w:t>3.完善跨部门协同机制</w:t>
      </w:r>
      <w:bookmarkEnd w:id="25"/>
    </w:p>
    <w:p w14:paraId="501CE44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建立由市政府牵头，民政、卫健、文旅等部门参与的“银发经济联席会议制度”，定期协调产业规划、标准制定、资金分配等事项；设立专项引导基金，重点支持智慧养老技术研发、康养产业园区建设，通过“政策包+资金池”吸引社会资本投入。</w:t>
      </w:r>
    </w:p>
    <w:p w14:paraId="6C572579">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26" w:name="_Toc254891862"/>
      <w:r>
        <w:rPr>
          <w:rFonts w:hint="default" w:ascii="国标黑体" w:hAnsi="国标黑体" w:eastAsia="国标黑体" w:cs="国标黑体"/>
          <w:b/>
          <w:bCs/>
          <w:sz w:val="30"/>
          <w:szCs w:val="30"/>
          <w:lang w:val="en-US" w:eastAsia="zh-CN"/>
        </w:rPr>
        <w:t>（三）突破数字鸿沟，打造智慧养老新生态</w:t>
      </w:r>
      <w:bookmarkEnd w:id="26"/>
    </w:p>
    <w:p w14:paraId="57A01E41">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eastAsia" w:ascii="国标黑体" w:hAnsi="国标黑体" w:eastAsia="国标黑体" w:cs="国标黑体"/>
          <w:b/>
          <w:bCs/>
          <w:sz w:val="28"/>
          <w:szCs w:val="28"/>
          <w:lang w:val="en-US" w:eastAsia="zh-CN"/>
        </w:rPr>
      </w:pPr>
      <w:bookmarkStart w:id="27" w:name="_Toc866711239"/>
      <w:r>
        <w:rPr>
          <w:rFonts w:hint="eastAsia" w:ascii="国标黑体" w:hAnsi="国标黑体" w:eastAsia="国标黑体" w:cs="国标黑体"/>
          <w:b/>
          <w:bCs/>
          <w:sz w:val="28"/>
          <w:szCs w:val="28"/>
          <w:lang w:val="en-US" w:eastAsia="zh-CN"/>
        </w:rPr>
        <w:t>1.分层推进老年人数字素养提升</w:t>
      </w:r>
      <w:bookmarkEnd w:id="27"/>
    </w:p>
    <w:p w14:paraId="3E59489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在老年大学增设“数字生活必修课”，针对60-69岁老人开展</w:t>
      </w:r>
      <w:r>
        <w:rPr>
          <w:rFonts w:hint="eastAsia" w:ascii="国标宋体" w:hAnsi="国标宋体" w:eastAsia="国标宋体" w:cs="国标宋体"/>
          <w:sz w:val="28"/>
          <w:szCs w:val="28"/>
          <w:lang w:val="en-US" w:eastAsia="zh-CN"/>
        </w:rPr>
        <w:t>常用智能设备培训，帮助老人熟练使用手机常用生活软件，如滴滴出行、外卖下单、购物等软件，掌握平板电脑、智能家居等常用设备的操作技能；</w:t>
      </w:r>
      <w:r>
        <w:rPr>
          <w:rFonts w:hint="default" w:ascii="国标宋体" w:hAnsi="国标宋体" w:eastAsia="国标宋体" w:cs="国标宋体"/>
          <w:sz w:val="28"/>
          <w:szCs w:val="28"/>
          <w:lang w:val="en-US" w:eastAsia="zh-CN"/>
        </w:rPr>
        <w:t>针对70岁以上老人</w:t>
      </w:r>
      <w:r>
        <w:rPr>
          <w:rFonts w:hint="eastAsia" w:ascii="国标宋体" w:hAnsi="国标宋体" w:eastAsia="国标宋体" w:cs="国标宋体"/>
          <w:sz w:val="28"/>
          <w:szCs w:val="28"/>
          <w:lang w:val="en-US" w:eastAsia="zh-CN"/>
        </w:rPr>
        <w:t>开展</w:t>
      </w:r>
      <w:r>
        <w:rPr>
          <w:rFonts w:hint="default" w:ascii="国标宋体" w:hAnsi="国标宋体" w:eastAsia="国标宋体" w:cs="国标宋体"/>
          <w:sz w:val="28"/>
          <w:szCs w:val="28"/>
          <w:lang w:val="en-US" w:eastAsia="zh-CN"/>
        </w:rPr>
        <w:t>智能手机基础操作培训</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如扫码支付、预约挂号</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推广“一键呼叫”</w:t>
      </w:r>
      <w:r>
        <w:rPr>
          <w:rFonts w:hint="eastAsia" w:ascii="国标宋体" w:hAnsi="国标宋体" w:eastAsia="国标宋体" w:cs="国标宋体"/>
          <w:sz w:val="28"/>
          <w:szCs w:val="28"/>
          <w:lang w:val="en-US" w:eastAsia="zh-CN"/>
        </w:rPr>
        <w:t>、</w:t>
      </w:r>
      <w:r>
        <w:rPr>
          <w:rFonts w:hint="default" w:ascii="国标宋体" w:hAnsi="国标宋体" w:eastAsia="国标宋体" w:cs="国标宋体"/>
          <w:sz w:val="28"/>
          <w:szCs w:val="28"/>
          <w:lang w:val="en-US" w:eastAsia="zh-CN"/>
        </w:rPr>
        <w:t>“语音控制”等简化功能。</w:t>
      </w:r>
    </w:p>
    <w:p w14:paraId="42EA457B">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28" w:name="_Toc2000035179"/>
      <w:r>
        <w:rPr>
          <w:rFonts w:hint="default" w:ascii="国标黑体" w:hAnsi="国标黑体" w:eastAsia="国标黑体" w:cs="国标黑体"/>
          <w:b/>
          <w:bCs/>
          <w:sz w:val="28"/>
          <w:szCs w:val="28"/>
          <w:lang w:val="en-US" w:eastAsia="zh-CN"/>
        </w:rPr>
        <w:t>2.建设“市级大脑+</w:t>
      </w:r>
      <w:r>
        <w:rPr>
          <w:rFonts w:hint="eastAsia" w:ascii="国标黑体" w:hAnsi="国标黑体" w:eastAsia="国标黑体" w:cs="国标黑体"/>
          <w:b/>
          <w:bCs/>
          <w:sz w:val="28"/>
          <w:szCs w:val="28"/>
          <w:lang w:val="en-US" w:eastAsia="zh-CN"/>
        </w:rPr>
        <w:t>移动</w:t>
      </w:r>
      <w:r>
        <w:rPr>
          <w:rFonts w:hint="default" w:ascii="国标黑体" w:hAnsi="国标黑体" w:eastAsia="国标黑体" w:cs="国标黑体"/>
          <w:b/>
          <w:bCs/>
          <w:sz w:val="28"/>
          <w:szCs w:val="28"/>
          <w:lang w:val="en-US" w:eastAsia="zh-CN"/>
        </w:rPr>
        <w:t>终端”智慧平台</w:t>
      </w:r>
      <w:bookmarkEnd w:id="28"/>
    </w:p>
    <w:p w14:paraId="38C7681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整合民政、卫健、公安等部门数据，搭建云浮市养老大数据平台，实时监测老年人健康状况、服务需求及产业运行情况；</w:t>
      </w:r>
      <w:r>
        <w:rPr>
          <w:rFonts w:hint="eastAsia" w:ascii="国标宋体" w:hAnsi="国标宋体" w:eastAsia="国标宋体" w:cs="国标宋体"/>
          <w:sz w:val="28"/>
          <w:szCs w:val="28"/>
          <w:lang w:val="en-US" w:eastAsia="zh-CN"/>
        </w:rPr>
        <w:t>配套开发适老化服务APP，简化操作流程，设置多种常用功能引擎，老人通过“一键通”极简操作即可以表达需求</w:t>
      </w:r>
      <w:r>
        <w:rPr>
          <w:rFonts w:hint="default" w:ascii="国标宋体" w:hAnsi="国标宋体" w:eastAsia="国标宋体" w:cs="国标宋体"/>
          <w:sz w:val="28"/>
          <w:szCs w:val="28"/>
          <w:lang w:val="en-US" w:eastAsia="zh-CN"/>
        </w:rPr>
        <w:t>，实现“需求采集—智能派单—</w:t>
      </w:r>
      <w:r>
        <w:rPr>
          <w:rFonts w:hint="eastAsia" w:ascii="国标宋体" w:hAnsi="国标宋体" w:eastAsia="国标宋体" w:cs="国标宋体"/>
          <w:sz w:val="28"/>
          <w:szCs w:val="28"/>
          <w:lang w:val="en-US" w:eastAsia="zh-CN"/>
        </w:rPr>
        <w:t>按单处理—</w:t>
      </w:r>
      <w:r>
        <w:rPr>
          <w:rFonts w:hint="default" w:ascii="国标宋体" w:hAnsi="国标宋体" w:eastAsia="国标宋体" w:cs="国标宋体"/>
          <w:sz w:val="28"/>
          <w:szCs w:val="28"/>
          <w:lang w:val="en-US" w:eastAsia="zh-CN"/>
        </w:rPr>
        <w:t>服务评价”闭环管理。</w:t>
      </w:r>
    </w:p>
    <w:p w14:paraId="36ED5A6D">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0"/>
        <w:rPr>
          <w:rFonts w:hint="default" w:ascii="国标黑体" w:hAnsi="国标黑体" w:eastAsia="国标黑体" w:cs="国标黑体"/>
          <w:b/>
          <w:bCs/>
          <w:sz w:val="30"/>
          <w:szCs w:val="30"/>
          <w:lang w:val="en-US" w:eastAsia="zh-CN"/>
        </w:rPr>
      </w:pPr>
      <w:bookmarkStart w:id="29" w:name="_Toc1878033572"/>
      <w:r>
        <w:rPr>
          <w:rFonts w:hint="default" w:ascii="国标黑体" w:hAnsi="国标黑体" w:eastAsia="国标黑体" w:cs="国标黑体"/>
          <w:b/>
          <w:bCs/>
          <w:sz w:val="30"/>
          <w:szCs w:val="30"/>
          <w:lang w:val="en-US" w:eastAsia="zh-CN"/>
        </w:rPr>
        <w:t>（四）强化政策保障，构建可持续发展机制</w:t>
      </w:r>
      <w:bookmarkEnd w:id="29"/>
    </w:p>
    <w:p w14:paraId="4A45D56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30" w:name="_Toc777534888"/>
      <w:r>
        <w:rPr>
          <w:rFonts w:hint="default" w:ascii="国标黑体" w:hAnsi="国标黑体" w:eastAsia="国标黑体" w:cs="国标黑体"/>
          <w:b/>
          <w:bCs/>
          <w:sz w:val="28"/>
          <w:szCs w:val="28"/>
          <w:lang w:val="en-US" w:eastAsia="zh-CN"/>
        </w:rPr>
        <w:t>1.加强人才队伍建设</w:t>
      </w:r>
      <w:bookmarkEnd w:id="30"/>
    </w:p>
    <w:p w14:paraId="6E054A3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与当地职业学院等合作开设“老年服务与管理”专业，对口培养养老护理员、康复理疗师，给予</w:t>
      </w:r>
      <w:r>
        <w:rPr>
          <w:rFonts w:hint="eastAsia" w:ascii="国标宋体" w:hAnsi="国标宋体" w:eastAsia="国标宋体" w:cs="国标宋体"/>
          <w:sz w:val="28"/>
          <w:szCs w:val="28"/>
          <w:lang w:val="en-US" w:eastAsia="zh-CN"/>
        </w:rPr>
        <w:t>学费补助</w:t>
      </w:r>
      <w:r>
        <w:rPr>
          <w:rFonts w:hint="default" w:ascii="国标宋体" w:hAnsi="国标宋体" w:eastAsia="国标宋体" w:cs="国标宋体"/>
          <w:sz w:val="28"/>
          <w:szCs w:val="28"/>
          <w:lang w:val="en-US" w:eastAsia="zh-CN"/>
        </w:rPr>
        <w:t>等；建立“银发专家库”，邀请退休医生、教师等</w:t>
      </w:r>
      <w:r>
        <w:rPr>
          <w:rFonts w:hint="eastAsia" w:ascii="国标宋体" w:hAnsi="国标宋体" w:eastAsia="国标宋体" w:cs="国标宋体"/>
          <w:sz w:val="28"/>
          <w:szCs w:val="28"/>
          <w:lang w:val="en-US" w:eastAsia="zh-CN"/>
        </w:rPr>
        <w:t>参与养老服务，</w:t>
      </w:r>
      <w:r>
        <w:rPr>
          <w:rFonts w:hint="default" w:ascii="国标宋体" w:hAnsi="国标宋体" w:eastAsia="国标宋体" w:cs="国标宋体"/>
          <w:sz w:val="28"/>
          <w:szCs w:val="28"/>
          <w:lang w:val="en-US" w:eastAsia="zh-CN"/>
        </w:rPr>
        <w:t>给予交通补贴、表彰等，解决人才短板。</w:t>
      </w:r>
    </w:p>
    <w:p w14:paraId="326954AD">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1"/>
        <w:rPr>
          <w:rFonts w:hint="default" w:ascii="国标黑体" w:hAnsi="国标黑体" w:eastAsia="国标黑体" w:cs="国标黑体"/>
          <w:b/>
          <w:bCs/>
          <w:sz w:val="28"/>
          <w:szCs w:val="28"/>
          <w:lang w:val="en-US" w:eastAsia="zh-CN"/>
        </w:rPr>
      </w:pPr>
      <w:bookmarkStart w:id="31" w:name="_Toc185252098"/>
      <w:r>
        <w:rPr>
          <w:rFonts w:hint="default" w:ascii="国标黑体" w:hAnsi="国标黑体" w:eastAsia="国标黑体" w:cs="国标黑体"/>
          <w:b/>
          <w:bCs/>
          <w:sz w:val="28"/>
          <w:szCs w:val="28"/>
          <w:lang w:val="en-US" w:eastAsia="zh-CN"/>
        </w:rPr>
        <w:t>2.健全长期护理保险制度</w:t>
      </w:r>
      <w:bookmarkEnd w:id="31"/>
    </w:p>
    <w:p w14:paraId="0AC8030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探索建立“基本医保+商业保险”的长期护理保险模式，优先将失能、半失能老人纳入保障范围，逐步扩大覆盖人群；鼓励保险公司开发“旅居养老保险”“适老化产品责任险”等特色险种，通过风险共担机制降低产业发展成本。</w:t>
      </w:r>
    </w:p>
    <w:p w14:paraId="140DBA76">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1"/>
        <w:rPr>
          <w:rFonts w:hint="default" w:ascii="国标黑体" w:hAnsi="国标黑体" w:eastAsia="国标黑体" w:cs="国标黑体"/>
          <w:b/>
          <w:bCs/>
          <w:sz w:val="30"/>
          <w:szCs w:val="30"/>
          <w:lang w:val="en-US" w:eastAsia="zh-CN"/>
        </w:rPr>
      </w:pPr>
      <w:bookmarkStart w:id="32" w:name="_Toc1164353357"/>
      <w:r>
        <w:rPr>
          <w:rFonts w:hint="default" w:ascii="国标黑体" w:hAnsi="国标黑体" w:eastAsia="国标黑体" w:cs="国标黑体"/>
          <w:b/>
          <w:bCs/>
          <w:sz w:val="30"/>
          <w:szCs w:val="30"/>
          <w:lang w:val="en-US" w:eastAsia="zh-CN"/>
        </w:rPr>
        <w:t>五、结语</w:t>
      </w:r>
      <w:bookmarkEnd w:id="32"/>
    </w:p>
    <w:p w14:paraId="61FB44F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国标宋体" w:hAnsi="国标宋体" w:eastAsia="国标宋体" w:cs="国标宋体"/>
          <w:sz w:val="28"/>
          <w:szCs w:val="28"/>
          <w:lang w:val="en-US" w:eastAsia="zh-CN"/>
        </w:rPr>
      </w:pPr>
      <w:r>
        <w:rPr>
          <w:rFonts w:hint="default" w:ascii="国标宋体" w:hAnsi="国标宋体" w:eastAsia="国标宋体" w:cs="国标宋体"/>
          <w:sz w:val="28"/>
          <w:szCs w:val="28"/>
          <w:lang w:val="en-US" w:eastAsia="zh-CN"/>
        </w:rPr>
        <w:t>云浮市银发经济具备</w:t>
      </w:r>
      <w:r>
        <w:rPr>
          <w:rFonts w:hint="eastAsia" w:ascii="国标宋体" w:hAnsi="国标宋体" w:eastAsia="国标宋体" w:cs="国标宋体"/>
          <w:sz w:val="28"/>
          <w:szCs w:val="28"/>
          <w:lang w:val="en-US" w:eastAsia="zh-CN"/>
        </w:rPr>
        <w:t>人口</w:t>
      </w:r>
      <w:r>
        <w:rPr>
          <w:rFonts w:hint="default" w:ascii="国标宋体" w:hAnsi="国标宋体" w:eastAsia="国标宋体" w:cs="国标宋体"/>
          <w:sz w:val="28"/>
          <w:szCs w:val="28"/>
          <w:lang w:val="en-US" w:eastAsia="zh-CN"/>
        </w:rPr>
        <w:t>红利、生态红利、政策红利，重要的是要突破“需求端潜力大、供给端效率低”的“瓶颈”，对接多样需求、推进医旅、制造等融合发展，夯实现数字、政策基础，或将塑造出“生态康养为特色、智慧服务为支撑、产业融合为动力”的银发经济。今后还需进一步提升“政府主导、市场主体、社会力量”合力，将“银发经济”打造成云浮市高质量发展新动能。</w:t>
      </w: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BF471C22-6600-450F-8113-A42387A0AD3A}"/>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A84D026F-2321-494C-9123-A7CEA6C1C53D}"/>
  </w:font>
  <w:font w:name="国标宋体">
    <w:altName w:val="宋体"/>
    <w:panose1 w:val="02000500000000000000"/>
    <w:charset w:val="86"/>
    <w:family w:val="auto"/>
    <w:pitch w:val="default"/>
    <w:sig w:usb0="00000000" w:usb1="00000000" w:usb2="00000000" w:usb3="00000000" w:csb0="00040000" w:csb1="00000000"/>
    <w:embedRegular r:id="rId3" w:fontKey="{02AEA0DA-0080-4684-9FFA-67A785759463}"/>
  </w:font>
  <w:font w:name="国标黑体">
    <w:altName w:val="黑体"/>
    <w:panose1 w:val="02000500000000000000"/>
    <w:charset w:val="86"/>
    <w:family w:val="auto"/>
    <w:pitch w:val="default"/>
    <w:sig w:usb0="00000000" w:usb1="00000000" w:usb2="00000000" w:usb3="00000000" w:csb0="00040000" w:csb1="00000000"/>
    <w:embedRegular r:id="rId4" w:fontKey="{503395F4-8D82-4DA0-B413-4F3685254F74}"/>
  </w:font>
  <w:font w:name="KSOF7DF7421F">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27EF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1DAA21">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C1DAA21">
                    <w:pPr>
                      <w:pStyle w:val="2"/>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46AA">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8C35A7">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8C35A7">
                    <w:pPr>
                      <w:pStyle w:val="2"/>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D16C3"/>
    <w:rsid w:val="03376494"/>
    <w:rsid w:val="06795314"/>
    <w:rsid w:val="08E61E9F"/>
    <w:rsid w:val="08F56301"/>
    <w:rsid w:val="0AEB360F"/>
    <w:rsid w:val="0BA6A4EA"/>
    <w:rsid w:val="0BF00A21"/>
    <w:rsid w:val="0F9B731C"/>
    <w:rsid w:val="11043EB6"/>
    <w:rsid w:val="118D0647"/>
    <w:rsid w:val="120260FD"/>
    <w:rsid w:val="12C3766E"/>
    <w:rsid w:val="12F23AD1"/>
    <w:rsid w:val="14593E7F"/>
    <w:rsid w:val="14D8E13D"/>
    <w:rsid w:val="15055C97"/>
    <w:rsid w:val="16FF7800"/>
    <w:rsid w:val="17F22A59"/>
    <w:rsid w:val="19AC3746"/>
    <w:rsid w:val="19DF5601"/>
    <w:rsid w:val="1E1D53E7"/>
    <w:rsid w:val="1FEB4F71"/>
    <w:rsid w:val="1FF7D62B"/>
    <w:rsid w:val="1FFE2A70"/>
    <w:rsid w:val="23407BCB"/>
    <w:rsid w:val="23666923"/>
    <w:rsid w:val="252421B9"/>
    <w:rsid w:val="25610DEF"/>
    <w:rsid w:val="258909CC"/>
    <w:rsid w:val="283B03EC"/>
    <w:rsid w:val="2B425859"/>
    <w:rsid w:val="2C0C761A"/>
    <w:rsid w:val="2D381FFD"/>
    <w:rsid w:val="2DD3116F"/>
    <w:rsid w:val="2E6B713D"/>
    <w:rsid w:val="2E895A67"/>
    <w:rsid w:val="2F492CD9"/>
    <w:rsid w:val="2F7F68B2"/>
    <w:rsid w:val="31947767"/>
    <w:rsid w:val="31977EC6"/>
    <w:rsid w:val="33C06DC4"/>
    <w:rsid w:val="351B261A"/>
    <w:rsid w:val="357E7E98"/>
    <w:rsid w:val="37C361E5"/>
    <w:rsid w:val="395154A6"/>
    <w:rsid w:val="3AE812D3"/>
    <w:rsid w:val="3C6D3358"/>
    <w:rsid w:val="3CF324AB"/>
    <w:rsid w:val="3EBE4665"/>
    <w:rsid w:val="3F637AD5"/>
    <w:rsid w:val="3FCF575D"/>
    <w:rsid w:val="438E0BC0"/>
    <w:rsid w:val="43FC9C03"/>
    <w:rsid w:val="43FF58ED"/>
    <w:rsid w:val="442B4D8C"/>
    <w:rsid w:val="46184CA8"/>
    <w:rsid w:val="46925AB3"/>
    <w:rsid w:val="4CCDC716"/>
    <w:rsid w:val="4E4B0E05"/>
    <w:rsid w:val="4FAE3808"/>
    <w:rsid w:val="529F28E3"/>
    <w:rsid w:val="5403399E"/>
    <w:rsid w:val="546452B3"/>
    <w:rsid w:val="557B38B4"/>
    <w:rsid w:val="55A7412E"/>
    <w:rsid w:val="57BB2C9C"/>
    <w:rsid w:val="589A7FB8"/>
    <w:rsid w:val="59743598"/>
    <w:rsid w:val="5B38089C"/>
    <w:rsid w:val="5BC051E4"/>
    <w:rsid w:val="5CE13179"/>
    <w:rsid w:val="5D337FAB"/>
    <w:rsid w:val="5E8C2D4B"/>
    <w:rsid w:val="5F7E3FDE"/>
    <w:rsid w:val="5FCC5F1B"/>
    <w:rsid w:val="60332874"/>
    <w:rsid w:val="60C60800"/>
    <w:rsid w:val="639867A7"/>
    <w:rsid w:val="63B10084"/>
    <w:rsid w:val="6492668C"/>
    <w:rsid w:val="64CD28BD"/>
    <w:rsid w:val="673FC4DD"/>
    <w:rsid w:val="67EE4C6E"/>
    <w:rsid w:val="67F3BAA5"/>
    <w:rsid w:val="68B3168A"/>
    <w:rsid w:val="692D38F7"/>
    <w:rsid w:val="6BC6648C"/>
    <w:rsid w:val="6C072CD8"/>
    <w:rsid w:val="6E2015F9"/>
    <w:rsid w:val="6ED42CC8"/>
    <w:rsid w:val="6F600FD4"/>
    <w:rsid w:val="6FBD31E4"/>
    <w:rsid w:val="718C43E6"/>
    <w:rsid w:val="731F5D7E"/>
    <w:rsid w:val="73FE5215"/>
    <w:rsid w:val="74FA8650"/>
    <w:rsid w:val="75310C2D"/>
    <w:rsid w:val="758432FF"/>
    <w:rsid w:val="76ACFD09"/>
    <w:rsid w:val="77BB1DD7"/>
    <w:rsid w:val="77DBAE71"/>
    <w:rsid w:val="783A31FC"/>
    <w:rsid w:val="78A113DE"/>
    <w:rsid w:val="78C245CE"/>
    <w:rsid w:val="7BBFEB5E"/>
    <w:rsid w:val="7C0D05C7"/>
    <w:rsid w:val="7C2A42B9"/>
    <w:rsid w:val="7C421831"/>
    <w:rsid w:val="7D9575EB"/>
    <w:rsid w:val="7DC9661B"/>
    <w:rsid w:val="7DDC8A04"/>
    <w:rsid w:val="7E6B81CB"/>
    <w:rsid w:val="7ED55CAF"/>
    <w:rsid w:val="7EF7959E"/>
    <w:rsid w:val="7F4A6532"/>
    <w:rsid w:val="7F5B90C0"/>
    <w:rsid w:val="7F7F6069"/>
    <w:rsid w:val="7FA9AD5F"/>
    <w:rsid w:val="7FC4B92F"/>
    <w:rsid w:val="7FD17DCE"/>
    <w:rsid w:val="9AB1F595"/>
    <w:rsid w:val="9AFEFDDC"/>
    <w:rsid w:val="A57FF8D7"/>
    <w:rsid w:val="B4C7A6A8"/>
    <w:rsid w:val="BF7519E3"/>
    <w:rsid w:val="BFD7F194"/>
    <w:rsid w:val="BFF5754B"/>
    <w:rsid w:val="BFFC7E73"/>
    <w:rsid w:val="C57FBECB"/>
    <w:rsid w:val="C75F9DAD"/>
    <w:rsid w:val="CB736B77"/>
    <w:rsid w:val="CE7F1DE0"/>
    <w:rsid w:val="CEBE7376"/>
    <w:rsid w:val="CFFE9C0D"/>
    <w:rsid w:val="D3924DFB"/>
    <w:rsid w:val="DAEFBA74"/>
    <w:rsid w:val="DE798A83"/>
    <w:rsid w:val="E73AF1CC"/>
    <w:rsid w:val="EBFF4C43"/>
    <w:rsid w:val="EE4A9D2E"/>
    <w:rsid w:val="EFA9D1B0"/>
    <w:rsid w:val="F5BFADE3"/>
    <w:rsid w:val="F6C55A83"/>
    <w:rsid w:val="FDA75AD4"/>
    <w:rsid w:val="FDD67BF3"/>
    <w:rsid w:val="FDD78B06"/>
    <w:rsid w:val="FE7DB780"/>
    <w:rsid w:val="FF6F5547"/>
    <w:rsid w:val="FFD5F770"/>
    <w:rsid w:val="FFEA4949"/>
    <w:rsid w:val="FFFDA2C1"/>
    <w:rsid w:val="FFFF1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customStyle="1" w:styleId="8">
    <w:name w:val="font11"/>
    <w:basedOn w:val="6"/>
    <w:qFormat/>
    <w:uiPriority w:val="0"/>
    <w:rPr>
      <w:rFonts w:ascii="Segoe UI" w:hAnsi="Segoe UI" w:eastAsia="Segoe UI" w:cs="Segoe UI"/>
      <w:color w:val="000000"/>
      <w:sz w:val="22"/>
      <w:szCs w:val="22"/>
      <w:u w:val="none"/>
    </w:rPr>
  </w:style>
  <w:style w:type="character" w:customStyle="1" w:styleId="9">
    <w:name w:val="font31"/>
    <w:basedOn w:val="6"/>
    <w:qFormat/>
    <w:uiPriority w:val="0"/>
    <w:rPr>
      <w:rFonts w:hint="eastAsia" w:ascii="宋体" w:hAnsi="宋体" w:eastAsia="宋体" w:cs="宋体"/>
      <w:color w:val="000000"/>
      <w:sz w:val="22"/>
      <w:szCs w:val="22"/>
      <w:u w:val="none"/>
    </w:rPr>
  </w:style>
  <w:style w:type="paragraph" w:customStyle="1" w:styleId="10">
    <w:name w:val="正文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11">
    <w:name w:val="正文 New New New New New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3\Desktop\&#35838;&#39064;\&#24425;&#33993;&#25968;&#25454;&#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41.56万人</c:v>
                </c:pt>
              </c:strCache>
            </c:strRef>
          </c:tx>
          <c:spPr/>
          <c:explosion val="0"/>
          <c:dPt>
            <c:idx val="0"/>
            <c:bubble3D val="0"/>
            <c:explosion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50" b="1"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60-65岁“新老人”群体</c:v>
                </c:pt>
                <c:pt idx="1">
                  <c:v>65岁以上老年人口</c:v>
                </c:pt>
              </c:strCache>
            </c:strRef>
          </c:cat>
          <c:val>
            <c:numRef>
              <c:f>Sheet1!$B$2:$B$3</c:f>
              <c:numCache>
                <c:formatCode>0.00%</c:formatCode>
                <c:ptCount val="2"/>
                <c:pt idx="0">
                  <c:v>0.875</c:v>
                </c:pt>
                <c:pt idx="1">
                  <c:v>0.125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62157394843962"/>
          <c:y val="0.342655580750819"/>
          <c:w val="0.362143826322931"/>
          <c:h val="0.314940791131267"/>
        </c:manualLayout>
      </c:layout>
      <c:overlay val="0"/>
      <c:spPr>
        <a:noFill/>
        <a:ln>
          <a:noFill/>
        </a:ln>
        <a:effectLst/>
      </c:spPr>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a8b6b71-9d2a-4d2e-b0e2-6515008c1ffd}"/>
      </c:ext>
    </c:extLst>
  </c:chart>
  <c:spPr>
    <a:solidFill>
      <a:schemeClr val="bg1"/>
    </a:solidFill>
    <a:ln w="9525" cap="flat" cmpd="sng" algn="ctr">
      <a:solidFill>
        <a:schemeClr val="tx1">
          <a:lumMod val="15000"/>
          <a:lumOff val="85000"/>
        </a:schemeClr>
      </a:solidFill>
      <a:round/>
    </a:ln>
    <a:effectLst/>
  </c:spPr>
  <c:txPr>
    <a:bodyPr/>
    <a:lstStyle/>
    <a:p>
      <a:pPr>
        <a:defRPr lang="zh-CN" sz="105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[工作簿1]Sheet1!$C$4</c:f>
              <c:strCache>
                <c:ptCount val="1"/>
                <c:pt idx="0">
                  <c:v>占据比例</c:v>
                </c:pt>
              </c:strCache>
            </c:strRef>
          </c:tx>
          <c:spPr>
            <a:solidFill>
              <a:schemeClr val="accent1"/>
            </a:solidFill>
            <a:ln>
              <a:noFill/>
            </a:ln>
            <a:effectLst/>
          </c:spPr>
          <c:invertIfNegative val="0"/>
          <c:dLbls>
            <c:delete val="1"/>
          </c:dLbls>
          <c:cat>
            <c:strRef>
              <c:f>[工作簿1]Sheet1!$B$5:$B$7</c:f>
              <c:strCache>
                <c:ptCount val="3"/>
                <c:pt idx="0">
                  <c:v>医疗保健支出占比</c:v>
                </c:pt>
                <c:pt idx="1">
                  <c:v>文娱教育支出占比</c:v>
                </c:pt>
                <c:pt idx="2">
                  <c:v>食品 / 居住 / 交通等基础消费占比</c:v>
                </c:pt>
              </c:strCache>
            </c:strRef>
          </c:cat>
          <c:val>
            <c:numRef>
              <c:f>[工作簿1]Sheet1!$C$5:$C$7</c:f>
              <c:numCache>
                <c:formatCode>0%</c:formatCode>
                <c:ptCount val="3"/>
                <c:pt idx="0">
                  <c:v>0.32</c:v>
                </c:pt>
                <c:pt idx="1">
                  <c:v>0.25</c:v>
                </c:pt>
                <c:pt idx="2">
                  <c:v>0.43</c:v>
                </c:pt>
              </c:numCache>
            </c:numRef>
          </c:val>
        </c:ser>
        <c:dLbls>
          <c:showLegendKey val="0"/>
          <c:showVal val="0"/>
          <c:showCatName val="0"/>
          <c:showSerName val="0"/>
          <c:showPercent val="0"/>
          <c:showBubbleSize val="0"/>
        </c:dLbls>
        <c:gapWidth val="246"/>
        <c:overlap val="-28"/>
        <c:axId val="181575354"/>
        <c:axId val="372516700"/>
      </c:barChart>
      <c:catAx>
        <c:axId val="181575354"/>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372516700"/>
        <c:crosses val="autoZero"/>
        <c:auto val="1"/>
        <c:lblAlgn val="ctr"/>
        <c:lblOffset val="100"/>
        <c:noMultiLvlLbl val="0"/>
      </c:catAx>
      <c:valAx>
        <c:axId val="372516700"/>
        <c:scaling>
          <c:orientation val="minMax"/>
        </c:scaling>
        <c:delete val="0"/>
        <c:axPos val="l"/>
        <c:majorGridlines>
          <c:spPr>
            <a:ln w="9525" cap="flat" cmpd="sng" algn="ctr">
              <a:solidFill>
                <a:schemeClr val="lt1">
                  <a:lumMod val="90200"/>
                </a:schemeClr>
              </a:solidFill>
              <a:round/>
            </a:ln>
            <a:effectLst/>
          </c:spPr>
        </c:majorGridlines>
        <c:numFmt formatCode="0%" sourceLinked="1"/>
        <c:majorTickMark val="out"/>
        <c:minorTickMark val="none"/>
        <c:tickLblPos val="nextTo"/>
        <c:spPr>
          <a:noFill/>
          <a:ln>
            <a:noFill/>
          </a:ln>
          <a:effectLst/>
        </c:spPr>
        <c:txPr>
          <a:bodyPr rot="-6000000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18157535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egendEntry>
        <c:idx val="0"/>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17b0b7f-08ee-44e7-8110-7c0dcd8cf263}"/>
      </c:ext>
    </c:extLst>
  </c:chart>
  <c:spPr>
    <a:solidFill>
      <a:schemeClr val="bg1"/>
    </a:solidFill>
    <a:ln w="9525" cap="flat" cmpd="sng" algn="ctr">
      <a:solidFill>
        <a:schemeClr val="tx1">
          <a:lumMod val="15000"/>
          <a:lumOff val="85000"/>
        </a:schemeClr>
      </a:solidFill>
      <a:round/>
    </a:ln>
    <a:effectLst/>
  </c:spPr>
  <c:txPr>
    <a:bodyPr/>
    <a:lstStyle/>
    <a:p>
      <a:pPr>
        <a:defRPr lang="zh-CN" sz="1050"/>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r>
              <a:rPr sz="1000"/>
              <a:t>财政拨款预算（万元）</a:t>
            </a:r>
            <a:endParaRPr sz="1000"/>
          </a:p>
        </c:rich>
      </c:tx>
      <c:layout>
        <c:manualLayout>
          <c:xMode val="edge"/>
          <c:yMode val="edge"/>
          <c:x val="0.573773265651438"/>
          <c:y val="0.0522041763341067"/>
        </c:manualLayout>
      </c:layout>
      <c:overlay val="0"/>
      <c:spPr>
        <a:noFill/>
        <a:ln>
          <a:noFill/>
        </a:ln>
        <a:effectLst/>
      </c:spPr>
    </c:title>
    <c:autoTitleDeleted val="0"/>
    <c:plotArea>
      <c:layout/>
      <c:barChart>
        <c:barDir val="bar"/>
        <c:grouping val="clustered"/>
        <c:varyColors val="0"/>
        <c:ser>
          <c:idx val="0"/>
          <c:order val="0"/>
          <c:tx>
            <c:strRef>
              <c:f>'[彩蓉数据表.xls]民政局部门预算（老年专项）'!$G$2</c:f>
              <c:strCache>
                <c:ptCount val="1"/>
                <c:pt idx="0">
                  <c:v>财政拨款（万元）</c:v>
                </c:pt>
              </c:strCache>
            </c:strRef>
          </c:tx>
          <c:spPr>
            <a:solidFill>
              <a:schemeClr val="accent2">
                <a:lumMod val="60000"/>
                <a:lumOff val="4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'[彩蓉数据表.xls]民政局部门预算（老年专项）'!$F$3:$F$6</c:f>
              <c:strCache>
                <c:ptCount val="4"/>
                <c:pt idx="0">
                  <c:v>2025年市级居家养老信息化服务平台运营资金</c:v>
                </c:pt>
                <c:pt idx="1">
                  <c:v>老年人及低保对象投保人身意外伤害险</c:v>
                </c:pt>
                <c:pt idx="2">
                  <c:v>2025年老人护理服务经费</c:v>
                </c:pt>
                <c:pt idx="3">
                  <c:v>市福利院养老服务中心搬迁改造项目</c:v>
                </c:pt>
              </c:strCache>
            </c:strRef>
          </c:cat>
          <c:val>
            <c:numRef>
              <c:f>'[彩蓉数据表.xls]民政局部门预算（老年专项）'!$G$3:$G$6</c:f>
              <c:numCache>
                <c:formatCode>General</c:formatCode>
                <c:ptCount val="4"/>
                <c:pt idx="0">
                  <c:v>60</c:v>
                </c:pt>
                <c:pt idx="1">
                  <c:v>72.42</c:v>
                </c:pt>
                <c:pt idx="2">
                  <c:v>154</c:v>
                </c:pt>
                <c:pt idx="3">
                  <c:v>500</c:v>
                </c:pt>
              </c:numCache>
            </c:numRef>
          </c:val>
        </c:ser>
        <c:dLbls>
          <c:showLegendKey val="0"/>
          <c:showVal val="1"/>
          <c:showCatName val="0"/>
          <c:showSerName val="0"/>
          <c:showPercent val="0"/>
          <c:showBubbleSize val="0"/>
        </c:dLbls>
        <c:gapWidth val="182"/>
        <c:overlap val="0"/>
        <c:axId val="434699865"/>
        <c:axId val="574195395"/>
      </c:barChart>
      <c:catAx>
        <c:axId val="434699865"/>
        <c:scaling>
          <c:orientation val="minMax"/>
        </c:scaling>
        <c:delete val="0"/>
        <c:axPos val="l"/>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4195395"/>
        <c:crosses val="autoZero"/>
        <c:auto val="1"/>
        <c:lblAlgn val="ctr"/>
        <c:lblOffset val="100"/>
        <c:noMultiLvlLbl val="0"/>
      </c:catAx>
      <c:valAx>
        <c:axId val="57419539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4699865"/>
        <c:crosses val="autoZero"/>
        <c:crossBetween val="between"/>
      </c:valAx>
      <c:spPr>
        <a:noFill/>
        <a:ln>
          <a:noFill/>
        </a:ln>
        <a:effectLst/>
      </c:spPr>
    </c:plotArea>
    <c:plotVisOnly val="1"/>
    <c:dispBlanksAs val="gap"/>
    <c:showDLblsOverMax val="0"/>
    <c:extLst>
      <c:ext uri="{0b15fc19-7d7d-44ad-8c2d-2c3a37ce22c3}">
        <chartProps xmlns="https://web.wps.cn/et/2018/main" chartId="{de387605-749a-42c0-9791-4e815265071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5149</Words>
  <Characters>5434</Characters>
  <Lines>0</Lines>
  <Paragraphs>0</Paragraphs>
  <TotalTime>78</TotalTime>
  <ScaleCrop>false</ScaleCrop>
  <LinksUpToDate>false</LinksUpToDate>
  <CharactersWithSpaces>5454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2025-05-19T13:55:00Z</dcterms:created>
  <dc:creator>admin</dc:creator>
  <cp:lastModifiedBy> 画</cp:lastModifiedBy>
  <dcterms:modified xsi:type="dcterms:W3CDTF">2026-07-08T07:26:56Z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eyJoZGlkIjoiNDAxZTZiMDhmNDg1ODY0ODA4MjQ5MzhjMDUzZjllNjAiLCJ1c2VySWQiOiIxNjA4MDYzODI0In0=</vt:lpwstr>
  </property>
  <property fmtid="{D5CDD505-2E9C-101B-9397-08002B2CF9AE}" pid="4" name="ICV">
    <vt:lpwstr>536CC3A9D800435DB1BA471FB3536459_13</vt:lpwstr>
  </property>
</Properties>
</file>