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D3A52">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华文中宋" w:hAnsi="华文中宋" w:eastAsia="华文中宋" w:cs="华文中宋"/>
          <w:b/>
          <w:bCs/>
          <w:color w:val="000000"/>
          <w:kern w:val="0"/>
          <w:sz w:val="43"/>
          <w:szCs w:val="43"/>
          <w:lang w:val="en-US" w:eastAsia="zh-CN" w:bidi="ar"/>
        </w:rPr>
      </w:pPr>
      <w:bookmarkStart w:id="0" w:name="_GoBack"/>
      <w:bookmarkEnd w:id="0"/>
      <w:r>
        <w:rPr>
          <w:rFonts w:hint="eastAsia" w:ascii="华文中宋" w:hAnsi="华文中宋" w:eastAsia="华文中宋" w:cs="华文中宋"/>
          <w:b/>
          <w:bCs/>
          <w:color w:val="000000"/>
          <w:kern w:val="0"/>
          <w:sz w:val="43"/>
          <w:szCs w:val="43"/>
          <w:lang w:val="en-US" w:eastAsia="zh-CN" w:bidi="ar"/>
        </w:rPr>
        <w:t>从“产学研用”到“学研产用”：云浮市县两级党校推动地方发展的创新路径探究报告</w:t>
      </w:r>
    </w:p>
    <w:p w14:paraId="181FE38D">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center"/>
        <w:textAlignment w:val="auto"/>
        <w:rPr>
          <w:rFonts w:hint="eastAsia" w:ascii="仿宋" w:hAnsi="仿宋" w:eastAsia="仿宋" w:cs="仿宋"/>
          <w:color w:val="000000"/>
          <w:kern w:val="0"/>
          <w:sz w:val="30"/>
          <w:szCs w:val="30"/>
          <w:lang w:val="en-US" w:eastAsia="zh-CN" w:bidi="ar"/>
        </w:rPr>
      </w:pPr>
    </w:p>
    <w:p w14:paraId="22D0CA2A">
      <w:pPr>
        <w:keepNext w:val="0"/>
        <w:keepLines w:val="0"/>
        <w:pageBreakBefore w:val="0"/>
        <w:widowControl/>
        <w:suppressLineNumbers w:val="0"/>
        <w:kinsoku/>
        <w:wordWrap/>
        <w:overflowPunct/>
        <w:topLinePunct w:val="0"/>
        <w:autoSpaceDE/>
        <w:autoSpaceDN/>
        <w:bidi w:val="0"/>
        <w:adjustRightInd/>
        <w:snapToGrid/>
        <w:spacing w:line="560" w:lineRule="exact"/>
        <w:ind w:firstLine="600" w:firstLineChars="200"/>
        <w:jc w:val="center"/>
        <w:textAlignment w:val="auto"/>
        <w:rPr>
          <w:rFonts w:hint="eastAsia" w:ascii="仿宋" w:hAnsi="仿宋" w:eastAsia="仿宋" w:cs="仿宋"/>
          <w:color w:val="000000"/>
          <w:kern w:val="0"/>
          <w:sz w:val="30"/>
          <w:szCs w:val="30"/>
          <w:lang w:val="en-US" w:eastAsia="zh-CN" w:bidi="ar"/>
        </w:rPr>
      </w:pPr>
    </w:p>
    <w:p w14:paraId="081E2AA3">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习近平总书记指出：“市县两级党校大约承担了90%以上基层党员干部教育培训任务，是教育培训基层党员干部的主力军。 要从长计议，把这些党校都办好。”</w:t>
      </w:r>
      <w:r>
        <w:rPr>
          <w:rFonts w:hint="eastAsia" w:ascii="仿宋" w:hAnsi="仿宋" w:eastAsia="仿宋" w:cs="仿宋"/>
          <w:color w:val="000000"/>
          <w:kern w:val="0"/>
          <w:sz w:val="30"/>
          <w:szCs w:val="30"/>
          <w:vertAlign w:val="superscript"/>
          <w:lang w:val="en-US" w:eastAsia="zh-CN" w:bidi="ar"/>
        </w:rPr>
        <w:t>[1]</w:t>
      </w:r>
      <w:r>
        <w:rPr>
          <w:rFonts w:hint="eastAsia" w:ascii="仿宋" w:hAnsi="仿宋" w:eastAsia="仿宋" w:cs="仿宋"/>
          <w:color w:val="000000"/>
          <w:kern w:val="0"/>
          <w:sz w:val="30"/>
          <w:szCs w:val="30"/>
          <w:lang w:val="en-US" w:eastAsia="zh-CN" w:bidi="ar"/>
        </w:rPr>
        <w:t>在新时代党建引领基层治理与地方发展的背景下，党校作为党员干部教育主阵地，需探索更高效的服务地方发展模式。随着云浮市“百千万工程”“制造业当家”深入推进及乡村振兴提质增效，传统的教学模式逐渐呈现教学与需求脱节、合作激励缺乏、科技成果转化率低等问题。推动“产学研用”向“学研产用”转型，有助于强化党校理论研究与地方产业需求的精准对接，提升党建引领下的基层治理效能。为此，课题组围绕云浮市县两级党校现有教学模式的现状与问题开展调研，分析外地可借鉴的创新方法，探索出云浮市县两级党校向“学研产用”转变的创新路径。</w:t>
      </w:r>
    </w:p>
    <w:p w14:paraId="4B5B801A">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一、云浮市县两级党校传统教学模式的成效与问题</w:t>
      </w:r>
    </w:p>
    <w:p w14:paraId="2DCCB610">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default" w:ascii="仿宋" w:hAnsi="仿宋" w:eastAsia="仿宋" w:cs="仿宋"/>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从近年来的实践看，在传</w:t>
      </w:r>
      <w:r>
        <w:rPr>
          <w:rFonts w:hint="eastAsia" w:ascii="仿宋" w:hAnsi="仿宋" w:eastAsia="仿宋" w:cs="仿宋"/>
          <w:color w:val="000000"/>
          <w:kern w:val="0"/>
          <w:sz w:val="30"/>
          <w:szCs w:val="30"/>
          <w:lang w:val="en-US" w:eastAsia="zh-CN" w:bidi="ar"/>
        </w:rPr>
        <w:t>统教学模式下，云浮市县两级党校以党的创新理论教学为核心，在政策传导以及思想共识凝聚上起到良好的效果，如围绕“百千万工程”等中心工作开设专题课，近3年来在58期主体班次安排160多门相关课程</w:t>
      </w:r>
      <w:r>
        <w:rPr>
          <w:rFonts w:hint="eastAsia" w:ascii="仿宋" w:hAnsi="仿宋" w:eastAsia="仿宋" w:cs="仿宋"/>
          <w:color w:val="000000"/>
          <w:kern w:val="0"/>
          <w:sz w:val="30"/>
          <w:szCs w:val="30"/>
          <w:vertAlign w:val="superscript"/>
          <w:lang w:val="en-US" w:eastAsia="zh-CN" w:bidi="ar"/>
        </w:rPr>
        <w:t>[2]</w:t>
      </w:r>
      <w:r>
        <w:rPr>
          <w:rFonts w:hint="eastAsia" w:ascii="仿宋" w:hAnsi="仿宋" w:eastAsia="仿宋" w:cs="仿宋"/>
          <w:color w:val="000000"/>
          <w:kern w:val="0"/>
          <w:sz w:val="30"/>
          <w:szCs w:val="30"/>
          <w:lang w:val="en-US" w:eastAsia="zh-CN" w:bidi="ar"/>
        </w:rPr>
        <w:t>，实现培训人员全覆盖，加深党员干部对地方发展战略的理解，把思想和行动统一到市委市政府决策部署上来，为地方经济发展凝聚思想共识；</w:t>
      </w:r>
      <w:r>
        <w:rPr>
          <w:rFonts w:hint="eastAsia" w:ascii="仿宋" w:hAnsi="仿宋" w:eastAsia="仿宋" w:cs="仿宋"/>
          <w:b w:val="0"/>
          <w:bCs w:val="0"/>
          <w:color w:val="000000"/>
          <w:kern w:val="0"/>
          <w:sz w:val="30"/>
          <w:szCs w:val="30"/>
          <w:lang w:val="en-US" w:eastAsia="zh-CN" w:bidi="ar"/>
        </w:rPr>
        <w:t>在科研上，党</w:t>
      </w:r>
      <w:r>
        <w:rPr>
          <w:rFonts w:hint="eastAsia" w:ascii="仿宋" w:hAnsi="仿宋" w:eastAsia="仿宋" w:cs="仿宋"/>
          <w:color w:val="000000"/>
          <w:kern w:val="0"/>
          <w:sz w:val="30"/>
          <w:szCs w:val="30"/>
          <w:lang w:val="en-US" w:eastAsia="zh-CN" w:bidi="ar"/>
        </w:rPr>
        <w:t>校依托科研职能，能围绕地方经济发展中的痛点难点开展课题研究，如《云浮“政银企村”合作模式下发展新型集体经济的有益探索》案例教学文本入选《新时代广东创新实践案例》，为地方政府制定相关政策提供了理论依据和实践参考；在</w:t>
      </w:r>
      <w:r>
        <w:rPr>
          <w:rFonts w:hint="eastAsia" w:ascii="仿宋" w:hAnsi="仿宋" w:eastAsia="仿宋" w:cs="仿宋"/>
          <w:b w:val="0"/>
          <w:bCs w:val="0"/>
          <w:color w:val="000000"/>
          <w:kern w:val="0"/>
          <w:sz w:val="30"/>
          <w:szCs w:val="30"/>
          <w:lang w:val="en-US" w:eastAsia="zh-CN" w:bidi="ar"/>
        </w:rPr>
        <w:t>产教联动，</w:t>
      </w:r>
      <w:r>
        <w:rPr>
          <w:rFonts w:hint="eastAsia" w:ascii="仿宋" w:hAnsi="仿宋" w:eastAsia="仿宋" w:cs="仿宋"/>
          <w:color w:val="000000"/>
          <w:kern w:val="0"/>
          <w:sz w:val="30"/>
          <w:szCs w:val="30"/>
          <w:lang w:val="en-US" w:eastAsia="zh-CN" w:bidi="ar"/>
        </w:rPr>
        <w:t>通过组织学员走进企业、园区开展现场教学，如参观新兴温氏总部、罗定产业转移工业园等，让干部直观了解本地产业发展现状，帮助干部掌握产业发展规律，提升服务企业、推动产业发展的意识与能力。但也存在以下问题：</w:t>
      </w:r>
    </w:p>
    <w:p w14:paraId="703220EE">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（一）教学与地方需求脱节，实用性针对性不足</w:t>
      </w:r>
    </w:p>
    <w:p w14:paraId="0DAB5E26">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lang w:val="en-US" w:eastAsia="zh-CN"/>
        </w:rPr>
      </w:pPr>
      <w:r>
        <w:rPr>
          <w:rFonts w:hint="eastAsia" w:ascii="仿宋" w:hAnsi="仿宋" w:eastAsia="仿宋" w:cs="仿宋"/>
          <w:color w:val="000000"/>
          <w:kern w:val="0"/>
          <w:sz w:val="30"/>
          <w:szCs w:val="30"/>
          <w:lang w:val="en-US" w:eastAsia="zh-CN" w:bidi="ar"/>
        </w:rPr>
        <w:t>传统模式下，课程设计多以理论体系为导向，本次调查发放160份问卷，根据调查数据（图1），以课堂讲授为主占比36.3%，对地方产业实际、基层治理难题的调研不够深入。部分课程内容通用性强，未能充分结合云浮南药产业、金属智造、绿色建材等特色产业的发展需求，也未能精准匹配干部在推动“百千万工程”、乡村振兴中的实操痛点，导致培训效果与地方发展实际需求存在差距。如罗定肉桂企业反映，党校培训未覆盖“肉桂精深加工技术”“电商营销”等实操内容，导致企业技术升级需求难以满足。</w:t>
      </w:r>
    </w:p>
    <w:p w14:paraId="2AEA13BC">
      <w:pPr>
        <w:jc w:val="center"/>
      </w:pPr>
      <w:r>
        <w:drawing>
          <wp:inline distT="0" distB="0" distL="114300" distR="114300">
            <wp:extent cx="3815080" cy="2641600"/>
            <wp:effectExtent l="0" t="0" r="1397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815080" cy="2641600"/>
                    </a:xfrm>
                    <a:prstGeom prst="rect">
                      <a:avLst/>
                    </a:prstGeom>
                    <a:noFill/>
                    <a:ln>
                      <a:noFill/>
                    </a:ln>
                  </pic:spPr>
                </pic:pic>
              </a:graphicData>
            </a:graphic>
          </wp:inline>
        </w:drawing>
      </w:r>
    </w:p>
    <w:p w14:paraId="6E218BE6">
      <w:pPr>
        <w:keepNext w:val="0"/>
        <w:keepLines w:val="0"/>
        <w:pageBreakBefore w:val="0"/>
        <w:kinsoku/>
        <w:wordWrap/>
        <w:overflowPunct/>
        <w:topLinePunct w:val="0"/>
        <w:autoSpaceDE/>
        <w:autoSpaceDN/>
        <w:bidi w:val="0"/>
        <w:adjustRightInd/>
        <w:snapToGrid/>
        <w:spacing w:line="560" w:lineRule="exact"/>
        <w:ind w:firstLine="560" w:firstLineChars="200"/>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图1：党校当前主流教学模式</w:t>
      </w:r>
    </w:p>
    <w:p w14:paraId="0C2B63EC">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(二)科研与产业协同弱，成果转化率低</w:t>
      </w:r>
    </w:p>
    <w:p w14:paraId="001D5728">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lang w:val="en-US" w:eastAsia="zh-CN"/>
        </w:rPr>
      </w:pPr>
      <w:r>
        <w:rPr>
          <w:rFonts w:hint="eastAsia" w:ascii="仿宋" w:hAnsi="仿宋" w:eastAsia="仿宋" w:cs="仿宋"/>
          <w:color w:val="000000"/>
          <w:kern w:val="0"/>
          <w:sz w:val="30"/>
          <w:szCs w:val="30"/>
          <w:lang w:val="en-US" w:eastAsia="zh-CN" w:bidi="ar"/>
        </w:rPr>
        <w:t>科研选题与地方需求贴合度不足，56.3%的党校科研仅“中度结合”地方发展，仅26.67%实现“高度结合”，且成果多以报告形式呈现，未转化为产业可用方案。68.89%的企业认为“党校科研成果实用性不足”，如云浮石材产业“数字化转型”需求，未通过党校科研获得技术支撑，科研对经济发展的支撑作用未充分发挥。</w:t>
      </w:r>
    </w:p>
    <w:p w14:paraId="48F5B020">
      <w:pPr>
        <w:rPr>
          <w:rFonts w:hint="eastAsia"/>
          <w:lang w:val="en-US" w:eastAsia="zh-CN"/>
        </w:rPr>
      </w:pPr>
      <w:r>
        <w:drawing>
          <wp:inline distT="0" distB="0" distL="114300" distR="114300">
            <wp:extent cx="5268595" cy="2585720"/>
            <wp:effectExtent l="0" t="0" r="825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68595" cy="2585720"/>
                    </a:xfrm>
                    <a:prstGeom prst="rect">
                      <a:avLst/>
                    </a:prstGeom>
                    <a:noFill/>
                    <a:ln>
                      <a:noFill/>
                    </a:ln>
                  </pic:spPr>
                </pic:pic>
              </a:graphicData>
            </a:graphic>
          </wp:inline>
        </w:drawing>
      </w:r>
    </w:p>
    <w:p w14:paraId="21778AE7">
      <w:pPr>
        <w:keepNext w:val="0"/>
        <w:keepLines w:val="0"/>
        <w:pageBreakBefore w:val="0"/>
        <w:kinsoku/>
        <w:wordWrap/>
        <w:overflowPunct/>
        <w:topLinePunct w:val="0"/>
        <w:autoSpaceDE/>
        <w:autoSpaceDN/>
        <w:bidi w:val="0"/>
        <w:adjustRightInd/>
        <w:snapToGrid/>
        <w:spacing w:line="560" w:lineRule="exact"/>
        <w:ind w:firstLine="560" w:firstLineChars="200"/>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图2：党校在科研上与地方发展的结合度</w:t>
      </w:r>
    </w:p>
    <w:p w14:paraId="7B0C3A2D">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（三）资源联动机制不健全，协同效能弱</w:t>
      </w:r>
    </w:p>
    <w:p w14:paraId="05122E7B">
      <w:pPr>
        <w:keepNext w:val="0"/>
        <w:keepLines w:val="0"/>
        <w:pageBreakBefore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传统实践多为参观式调研，缺乏深度参与和成果跟踪。尽管大部分党校能组织学员参与地方调研，但调研成果转化为具体举措的不多，缺乏与企业、基层组织的深度合作，未能针对产业技术瓶颈、乡村发展短板提出可落地的解决方案。此外，党校与政府部门、企业、高校的协同多为零散合作，缺乏常态化、系统化的联动机制，未形成“学-研-践”的深度协同，难以发挥资源整合对地方发展的支撑作用，基层组织参与党校教学低，基层需求如乡村规划等未得到课程匹配，资源整合效能不足。</w:t>
      </w:r>
    </w:p>
    <w:p w14:paraId="516DF5F2">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二、向“学研产用”转型的意义</w:t>
      </w:r>
    </w:p>
    <w:p w14:paraId="6386C958">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（一）契合党校职能定位</w:t>
      </w:r>
    </w:p>
    <w:p w14:paraId="4B0C258F">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学研产用”的模式是将“教学”置于核心，这非常符合党校以干部教育培训为首要职能的定位。这种模式旨在将地方发展需求融入教学全过程，一方面可以提升干部干事创业的能力，另一方面又能依托教学带动科研，围绕地方难题开展专项研究，为政企提供决策建议，真正实现“为党育才，为党献策”，从而更好地服务党的中心工作。</w:t>
      </w:r>
    </w:p>
    <w:p w14:paraId="20AB3D36">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（二）破解地方发展痛点</w:t>
      </w:r>
    </w:p>
    <w:p w14:paraId="268A3159">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当前云浮面临产业层次低、专业人才短缺、基层治理能力不足等突出问题。“学研产用”模式通过教学精准赋能、科研靶向破题、产业深度对接、成果高效应用的闭环系统，可针对性破解痛点。</w:t>
      </w:r>
    </w:p>
    <w:p w14:paraId="4873BF00">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（三）提升培训实效</w:t>
      </w:r>
    </w:p>
    <w:p w14:paraId="1FDC66A3">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学研产用”模式打破传统“理论讲授+简单实践”的局限，构建“沉浸式教学、靶向科研、实操实践、成果转化”的新型培训体系。例如，通过“三同”社会实践（与群众同吃同住同劳动）、“破题攻坚工作坊”等形式，让学员在实践中学习、在解决问题中成长，有效提升干部的实操能力与责任担当，实现从“知识传授”向“能力塑造”的转变。</w:t>
      </w:r>
    </w:p>
    <w:p w14:paraId="317B59B8">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（四）推动党校系统协同发展</w:t>
      </w:r>
    </w:p>
    <w:p w14:paraId="4307DF37">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学研产用”转型需市县镇三级党校联动，整合师资、课程、现场教学点等资源。如云浮市委党校与云城区委党校联合开发党建引领基层治理案例式课程，罗定市委党校推动镇街党校“五共模式”（即发展共商、培训共办、师资共用、课程共建、资源共享），可打破层级壁垒，形成“上下联动、资源共享、优势互补”的党校系统格局，增强服务地方发展的整体合力。</w:t>
      </w:r>
    </w:p>
    <w:p w14:paraId="11D03ADC">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三、云浮市县两级党校向“学研产用”转型的SWOT分析</w:t>
      </w:r>
    </w:p>
    <w:p w14:paraId="6517F166">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（一）优势（Strengths）</w:t>
      </w:r>
    </w:p>
    <w:p w14:paraId="7E3A4DA8">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主要优势表现：</w:t>
      </w:r>
      <w:r>
        <w:rPr>
          <w:rFonts w:hint="eastAsia" w:ascii="仿宋" w:hAnsi="仿宋" w:eastAsia="仿宋" w:cs="仿宋"/>
          <w:b/>
          <w:bCs/>
          <w:color w:val="000000"/>
          <w:kern w:val="0"/>
          <w:sz w:val="30"/>
          <w:szCs w:val="30"/>
          <w:lang w:val="en-US" w:eastAsia="zh-CN" w:bidi="ar"/>
        </w:rPr>
        <w:t>一是</w:t>
      </w:r>
      <w:r>
        <w:rPr>
          <w:rFonts w:hint="eastAsia" w:ascii="仿宋" w:hAnsi="仿宋" w:eastAsia="仿宋" w:cs="仿宋"/>
          <w:b w:val="0"/>
          <w:bCs w:val="0"/>
          <w:color w:val="000000"/>
          <w:kern w:val="0"/>
          <w:sz w:val="30"/>
          <w:szCs w:val="30"/>
          <w:lang w:val="en-US" w:eastAsia="zh-CN" w:bidi="ar"/>
        </w:rPr>
        <w:t>策支持有力。</w:t>
      </w:r>
      <w:r>
        <w:rPr>
          <w:rFonts w:hint="eastAsia" w:ascii="仿宋" w:hAnsi="仿宋" w:eastAsia="仿宋" w:cs="仿宋"/>
          <w:color w:val="000000"/>
          <w:kern w:val="0"/>
          <w:sz w:val="30"/>
          <w:szCs w:val="30"/>
          <w:lang w:val="en-US" w:eastAsia="zh-CN" w:bidi="ar"/>
        </w:rPr>
        <w:t>云浮市委、市政府高度重视党校工作，出台《关于加强市县党校（行政学院）人才队伍建设若干措施（试行）》，在师资引进、编制保障、待遇落实等方面给予支持；同时，将党校工作纳入地方发展大局，要求党校围绕“百千万工程”“制造业当家”等中心工作开展培训，为“学研产用”转型提供政策保障。</w:t>
      </w:r>
      <w:r>
        <w:rPr>
          <w:rFonts w:hint="eastAsia" w:ascii="仿宋" w:hAnsi="仿宋" w:eastAsia="仿宋" w:cs="仿宋"/>
          <w:b/>
          <w:bCs/>
          <w:color w:val="000000"/>
          <w:kern w:val="0"/>
          <w:sz w:val="30"/>
          <w:szCs w:val="30"/>
          <w:lang w:val="en-US" w:eastAsia="zh-CN" w:bidi="ar"/>
        </w:rPr>
        <w:t>二是</w:t>
      </w:r>
      <w:r>
        <w:rPr>
          <w:rFonts w:hint="eastAsia" w:ascii="仿宋" w:hAnsi="仿宋" w:eastAsia="仿宋" w:cs="仿宋"/>
          <w:color w:val="000000"/>
          <w:kern w:val="0"/>
          <w:sz w:val="30"/>
          <w:szCs w:val="30"/>
          <w:lang w:val="en-US" w:eastAsia="zh-CN" w:bidi="ar"/>
        </w:rPr>
        <w:t>拥有良好的</w:t>
      </w:r>
      <w:r>
        <w:rPr>
          <w:rFonts w:hint="eastAsia" w:ascii="仿宋" w:hAnsi="仿宋" w:eastAsia="仿宋" w:cs="仿宋"/>
          <w:b w:val="0"/>
          <w:bCs w:val="0"/>
          <w:color w:val="000000"/>
          <w:kern w:val="0"/>
          <w:sz w:val="30"/>
          <w:szCs w:val="30"/>
          <w:lang w:val="en-US" w:eastAsia="zh-CN" w:bidi="ar"/>
        </w:rPr>
        <w:t>本土资源，</w:t>
      </w:r>
      <w:r>
        <w:rPr>
          <w:rFonts w:hint="eastAsia" w:ascii="仿宋" w:hAnsi="仿宋" w:eastAsia="仿宋" w:cs="仿宋"/>
          <w:color w:val="000000"/>
          <w:kern w:val="0"/>
          <w:sz w:val="30"/>
          <w:szCs w:val="30"/>
          <w:lang w:val="en-US" w:eastAsia="zh-CN" w:bidi="ar"/>
        </w:rPr>
        <w:t>拥有温氏集团、微容电子等龙头企业，南药、金属智造、绿色建材等特色产业，以及长岗坡渡槽、邓发故居等红色资源和“百千万工程”典型村等，可为党校开发特色课程、建设现场教学点、开展产学研合作提供了丰富的实践载体。</w:t>
      </w:r>
      <w:r>
        <w:rPr>
          <w:rFonts w:hint="eastAsia" w:ascii="仿宋" w:hAnsi="仿宋" w:eastAsia="仿宋" w:cs="仿宋"/>
          <w:b/>
          <w:bCs/>
          <w:color w:val="000000"/>
          <w:kern w:val="0"/>
          <w:sz w:val="30"/>
          <w:szCs w:val="30"/>
          <w:lang w:val="en-US" w:eastAsia="zh-CN" w:bidi="ar"/>
        </w:rPr>
        <w:t>三是</w:t>
      </w:r>
      <w:r>
        <w:rPr>
          <w:rFonts w:hint="eastAsia" w:ascii="仿宋" w:hAnsi="仿宋" w:eastAsia="仿宋" w:cs="仿宋"/>
          <w:color w:val="000000"/>
          <w:kern w:val="0"/>
          <w:sz w:val="30"/>
          <w:szCs w:val="30"/>
          <w:lang w:val="en-US" w:eastAsia="zh-CN" w:bidi="ar"/>
        </w:rPr>
        <w:t>三级党校联动机制初步形成，云浮市委党校通过“联系指导县镇党校”制度，统筹市县镇党校资源，如打造基层治理现场教学点、开展师资轮训，罗定市委党校推动镇街党校“规范化建设+特色发展”，新兴县委党校探索镇级党校“五共模式”，为“学研产用”转型中的资源整合、协同发展奠定基础。</w:t>
      </w:r>
    </w:p>
    <w:p w14:paraId="212C4EAC">
      <w:pPr>
        <w:rPr>
          <w:rFonts w:hint="eastAsia"/>
          <w:lang w:val="en-US" w:eastAsia="zh-CN"/>
        </w:rPr>
      </w:pPr>
      <w:r>
        <w:rPr>
          <w:rFonts w:hint="eastAsia" w:ascii="仿宋" w:hAnsi="仿宋" w:eastAsia="仿宋" w:cs="仿宋"/>
          <w:b/>
          <w:bCs/>
          <w:color w:val="000000"/>
          <w:kern w:val="0"/>
          <w:sz w:val="30"/>
          <w:szCs w:val="30"/>
          <w:lang w:val="en-US" w:eastAsia="zh-CN" w:bidi="ar"/>
        </w:rPr>
        <w:t>（二）劣势（Weaknesses）</w:t>
      </w:r>
    </w:p>
    <w:p w14:paraId="2EA51704">
      <w:pPr>
        <w:rPr>
          <w:rFonts w:hint="eastAsia"/>
          <w:lang w:val="en-US" w:eastAsia="zh-CN"/>
        </w:rPr>
      </w:pPr>
      <w:r>
        <w:drawing>
          <wp:inline distT="0" distB="0" distL="114300" distR="114300">
            <wp:extent cx="5272405" cy="2379980"/>
            <wp:effectExtent l="0" t="0" r="4445" b="12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5272405" cy="2379980"/>
                    </a:xfrm>
                    <a:prstGeom prst="rect">
                      <a:avLst/>
                    </a:prstGeom>
                    <a:noFill/>
                    <a:ln>
                      <a:noFill/>
                    </a:ln>
                  </pic:spPr>
                </pic:pic>
              </a:graphicData>
            </a:graphic>
          </wp:inline>
        </w:drawing>
      </w:r>
    </w:p>
    <w:p w14:paraId="21E143D1">
      <w:pPr>
        <w:keepNext w:val="0"/>
        <w:keepLines w:val="0"/>
        <w:pageBreakBefore w:val="0"/>
        <w:kinsoku/>
        <w:wordWrap/>
        <w:overflowPunct/>
        <w:topLinePunct w:val="0"/>
        <w:autoSpaceDE/>
        <w:autoSpaceDN/>
        <w:bidi w:val="0"/>
        <w:adjustRightInd/>
        <w:snapToGrid/>
        <w:spacing w:line="560" w:lineRule="exact"/>
        <w:ind w:firstLine="560" w:firstLineChars="200"/>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图3：党校推进“学研产用”模式面临的主要问题调查</w:t>
      </w:r>
    </w:p>
    <w:p w14:paraId="0496E7B9">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lang w:val="en-US" w:eastAsia="zh-CN"/>
        </w:rPr>
      </w:pPr>
      <w:r>
        <w:rPr>
          <w:rFonts w:hint="eastAsia" w:ascii="仿宋" w:hAnsi="仿宋" w:eastAsia="仿宋" w:cs="仿宋"/>
          <w:b w:val="0"/>
          <w:bCs w:val="0"/>
          <w:color w:val="000000"/>
          <w:kern w:val="0"/>
          <w:sz w:val="30"/>
          <w:szCs w:val="30"/>
          <w:lang w:val="en-US" w:eastAsia="zh-CN" w:bidi="ar"/>
        </w:rPr>
        <w:t>根据调研面临的主要问题有：</w:t>
      </w:r>
      <w:r>
        <w:rPr>
          <w:rFonts w:hint="eastAsia" w:ascii="仿宋" w:hAnsi="仿宋" w:eastAsia="仿宋" w:cs="仿宋"/>
          <w:b/>
          <w:bCs/>
          <w:color w:val="000000"/>
          <w:kern w:val="0"/>
          <w:sz w:val="30"/>
          <w:szCs w:val="30"/>
          <w:lang w:val="en-US" w:eastAsia="zh-CN" w:bidi="ar"/>
        </w:rPr>
        <w:t>一是</w:t>
      </w:r>
      <w:r>
        <w:rPr>
          <w:rFonts w:hint="eastAsia" w:ascii="仿宋" w:hAnsi="仿宋" w:eastAsia="仿宋" w:cs="仿宋"/>
          <w:b w:val="0"/>
          <w:bCs w:val="0"/>
          <w:color w:val="000000"/>
          <w:kern w:val="0"/>
          <w:sz w:val="30"/>
          <w:szCs w:val="30"/>
          <w:lang w:val="en-US" w:eastAsia="zh-CN" w:bidi="ar"/>
        </w:rPr>
        <w:t>师资队伍结构不合理。</w:t>
      </w:r>
      <w:r>
        <w:rPr>
          <w:rFonts w:hint="eastAsia" w:ascii="仿宋" w:hAnsi="仿宋" w:eastAsia="仿宋" w:cs="仿宋"/>
          <w:color w:val="000000"/>
          <w:kern w:val="0"/>
          <w:sz w:val="30"/>
          <w:szCs w:val="30"/>
          <w:lang w:val="en-US" w:eastAsia="zh-CN" w:bidi="ar"/>
        </w:rPr>
        <w:t>从调查数据看，云浮市县两级党校师资队伍存在显著结构性问题。一方面，53.33%的受访者认为党校师资能力不足（见图3），“双师型”师资占比低。部分县级党校专技教师人数不足，难以支撑“学研产用”对专业化、实践化教学的需求。另一方面，师资培育机制不完善，59.26%的受访者建议引进企业/政府专家兼职，反映出当前师资培训多侧重理论提升，缺乏与本土龙头企业的深度合作实践。</w:t>
      </w:r>
      <w:r>
        <w:rPr>
          <w:rFonts w:hint="eastAsia" w:ascii="仿宋" w:hAnsi="仿宋" w:eastAsia="仿宋" w:cs="仿宋"/>
          <w:b/>
          <w:bCs/>
          <w:color w:val="000000"/>
          <w:kern w:val="0"/>
          <w:sz w:val="30"/>
          <w:szCs w:val="30"/>
          <w:lang w:val="en-US" w:eastAsia="zh-CN" w:bidi="ar"/>
        </w:rPr>
        <w:t>二是</w:t>
      </w:r>
      <w:r>
        <w:rPr>
          <w:rFonts w:hint="eastAsia" w:ascii="仿宋" w:hAnsi="仿宋" w:eastAsia="仿宋" w:cs="仿宋"/>
          <w:b w:val="0"/>
          <w:bCs w:val="0"/>
          <w:color w:val="000000"/>
          <w:kern w:val="0"/>
          <w:sz w:val="30"/>
          <w:szCs w:val="30"/>
          <w:lang w:val="en-US" w:eastAsia="zh-CN" w:bidi="ar"/>
        </w:rPr>
        <w:t>科研转化落地难</w:t>
      </w:r>
      <w:r>
        <w:rPr>
          <w:rFonts w:hint="eastAsia" w:ascii="仿宋" w:hAnsi="仿宋" w:eastAsia="仿宋" w:cs="仿宋"/>
          <w:color w:val="000000"/>
          <w:kern w:val="0"/>
          <w:sz w:val="30"/>
          <w:szCs w:val="30"/>
          <w:lang w:val="en-US" w:eastAsia="zh-CN" w:bidi="ar"/>
        </w:rPr>
        <w:t>。调查数据显示，云浮党校科研与产业、应用的协同存在明显断层。</w:t>
      </w:r>
      <w:r>
        <w:rPr>
          <w:rFonts w:hint="eastAsia" w:ascii="仿宋" w:hAnsi="仿宋" w:eastAsia="仿宋" w:cs="仿宋"/>
          <w:b/>
          <w:bCs/>
          <w:color w:val="000000"/>
          <w:kern w:val="0"/>
          <w:sz w:val="30"/>
          <w:szCs w:val="30"/>
          <w:lang w:val="en-US" w:eastAsia="zh-CN" w:bidi="ar"/>
        </w:rPr>
        <w:t>三是</w:t>
      </w:r>
      <w:r>
        <w:rPr>
          <w:rFonts w:hint="eastAsia" w:ascii="仿宋" w:hAnsi="仿宋" w:eastAsia="仿宋" w:cs="仿宋"/>
          <w:b w:val="0"/>
          <w:bCs w:val="0"/>
          <w:color w:val="000000"/>
          <w:kern w:val="0"/>
          <w:sz w:val="30"/>
          <w:szCs w:val="30"/>
          <w:lang w:val="en-US" w:eastAsia="zh-CN" w:bidi="ar"/>
        </w:rPr>
        <w:t>资金投入不足，硬件设施滞后。</w:t>
      </w:r>
      <w:r>
        <w:rPr>
          <w:rFonts w:hint="eastAsia" w:ascii="仿宋" w:hAnsi="仿宋" w:eastAsia="仿宋" w:cs="仿宋"/>
          <w:color w:val="000000"/>
          <w:kern w:val="0"/>
          <w:sz w:val="30"/>
          <w:szCs w:val="30"/>
          <w:lang w:val="en-US" w:eastAsia="zh-CN" w:bidi="ar"/>
        </w:rPr>
        <w:t>调查数据凸显资金短缺对“学研产用”转型的制约。63.7%的受访者认为党校面临资金短缺问题，且70.37%受访者希望获得专项经费补贴从硬件条件看，部分镇街党校教学场地狭小、设施简陋，难以满足“学研产用”所需的互动教学、实践操作需求。</w:t>
      </w:r>
      <w:r>
        <w:rPr>
          <w:rFonts w:hint="eastAsia" w:ascii="仿宋" w:hAnsi="仿宋" w:eastAsia="仿宋" w:cs="仿宋"/>
          <w:b/>
          <w:bCs/>
          <w:color w:val="000000"/>
          <w:kern w:val="0"/>
          <w:sz w:val="30"/>
          <w:szCs w:val="30"/>
          <w:lang w:val="en-US" w:eastAsia="zh-CN" w:bidi="ar"/>
        </w:rPr>
        <w:t>四是</w:t>
      </w:r>
      <w:r>
        <w:rPr>
          <w:rFonts w:hint="eastAsia" w:ascii="仿宋" w:hAnsi="仿宋" w:eastAsia="仿宋" w:cs="仿宋"/>
          <w:b w:val="0"/>
          <w:bCs w:val="0"/>
          <w:color w:val="000000"/>
          <w:kern w:val="0"/>
          <w:sz w:val="30"/>
          <w:szCs w:val="30"/>
          <w:lang w:val="en-US" w:eastAsia="zh-CN" w:bidi="ar"/>
        </w:rPr>
        <w:t>政校企协同机制不完善</w:t>
      </w:r>
      <w:r>
        <w:rPr>
          <w:rFonts w:hint="eastAsia" w:ascii="仿宋" w:hAnsi="仿宋" w:eastAsia="仿宋" w:cs="仿宋"/>
          <w:color w:val="000000"/>
          <w:kern w:val="0"/>
          <w:sz w:val="30"/>
          <w:szCs w:val="30"/>
          <w:lang w:val="en-US" w:eastAsia="zh-CN" w:bidi="ar"/>
        </w:rPr>
        <w:t>。本次调查显示64.44% 的受访者认为合作机制不健全，目前党校与政府部门、企业的合作多为临时、零散的项目合作，缺乏常态化的需求对接平台、利益共享机制。</w:t>
      </w:r>
    </w:p>
    <w:p w14:paraId="72799EBD">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（三）机遇（Opportunities）</w:t>
      </w:r>
    </w:p>
    <w:p w14:paraId="16C6F0A1">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主要的机遇有：</w:t>
      </w:r>
      <w:r>
        <w:rPr>
          <w:rFonts w:hint="eastAsia" w:ascii="仿宋" w:hAnsi="仿宋" w:eastAsia="仿宋" w:cs="仿宋"/>
          <w:b/>
          <w:bCs/>
          <w:color w:val="000000"/>
          <w:kern w:val="0"/>
          <w:sz w:val="30"/>
          <w:szCs w:val="30"/>
          <w:lang w:val="en-US" w:eastAsia="zh-CN" w:bidi="ar"/>
        </w:rPr>
        <w:t>一是</w:t>
      </w:r>
      <w:r>
        <w:rPr>
          <w:rFonts w:hint="eastAsia" w:ascii="仿宋" w:hAnsi="仿宋" w:eastAsia="仿宋" w:cs="仿宋"/>
          <w:b w:val="0"/>
          <w:bCs w:val="0"/>
          <w:color w:val="000000"/>
          <w:kern w:val="0"/>
          <w:sz w:val="30"/>
          <w:szCs w:val="30"/>
          <w:lang w:val="en-US" w:eastAsia="zh-CN" w:bidi="ar"/>
        </w:rPr>
        <w:t>国家及省市政策导向提供战略机遇。党</w:t>
      </w:r>
      <w:r>
        <w:rPr>
          <w:rFonts w:hint="eastAsia" w:ascii="仿宋" w:hAnsi="仿宋" w:eastAsia="仿宋" w:cs="仿宋"/>
          <w:color w:val="000000"/>
          <w:kern w:val="0"/>
          <w:sz w:val="30"/>
          <w:szCs w:val="30"/>
          <w:lang w:val="en-US" w:eastAsia="zh-CN" w:bidi="ar"/>
        </w:rPr>
        <w:t>的二十大提出“健全常态化培训特别是基本培训机制”，省委“1310”具体部署、云浮市委“248”战略目标体系均要求党校加强干部专业能力培训、服务地方发展。</w:t>
      </w:r>
      <w:r>
        <w:rPr>
          <w:rFonts w:hint="eastAsia" w:ascii="仿宋" w:hAnsi="仿宋" w:eastAsia="仿宋" w:cs="仿宋"/>
          <w:b/>
          <w:bCs/>
          <w:color w:val="000000"/>
          <w:kern w:val="0"/>
          <w:sz w:val="30"/>
          <w:szCs w:val="30"/>
          <w:lang w:val="en-US" w:eastAsia="zh-CN" w:bidi="ar"/>
        </w:rPr>
        <w:t>二是</w:t>
      </w:r>
      <w:r>
        <w:rPr>
          <w:rFonts w:hint="eastAsia" w:ascii="仿宋" w:hAnsi="仿宋" w:eastAsia="仿宋" w:cs="仿宋"/>
          <w:b w:val="0"/>
          <w:bCs w:val="0"/>
          <w:color w:val="000000"/>
          <w:kern w:val="0"/>
          <w:sz w:val="30"/>
          <w:szCs w:val="30"/>
          <w:lang w:val="en-US" w:eastAsia="zh-CN" w:bidi="ar"/>
        </w:rPr>
        <w:t>云浮地方发展需求迫切。</w:t>
      </w:r>
      <w:r>
        <w:rPr>
          <w:rFonts w:hint="eastAsia" w:ascii="仿宋" w:hAnsi="仿宋" w:eastAsia="仿宋" w:cs="仿宋"/>
          <w:color w:val="000000"/>
          <w:kern w:val="0"/>
          <w:sz w:val="30"/>
          <w:szCs w:val="30"/>
          <w:lang w:val="en-US" w:eastAsia="zh-CN" w:bidi="ar"/>
        </w:rPr>
        <w:t>当前云浮正推进“百千万工程”、制造业当家等重点工作，对干部能力提升、产业人才培育、科研技术支撑的需求迫切。</w:t>
      </w:r>
      <w:r>
        <w:rPr>
          <w:rFonts w:hint="eastAsia" w:ascii="仿宋" w:hAnsi="仿宋" w:eastAsia="仿宋" w:cs="仿宋"/>
          <w:b/>
          <w:bCs/>
          <w:color w:val="000000"/>
          <w:kern w:val="0"/>
          <w:sz w:val="30"/>
          <w:szCs w:val="30"/>
          <w:lang w:val="en-US" w:eastAsia="zh-CN" w:bidi="ar"/>
        </w:rPr>
        <w:t>三是</w:t>
      </w:r>
      <w:r>
        <w:rPr>
          <w:rFonts w:hint="eastAsia" w:ascii="仿宋" w:hAnsi="仿宋" w:eastAsia="仿宋" w:cs="仿宋"/>
          <w:b w:val="0"/>
          <w:bCs w:val="0"/>
          <w:color w:val="000000"/>
          <w:kern w:val="0"/>
          <w:sz w:val="30"/>
          <w:szCs w:val="30"/>
          <w:lang w:val="en-US" w:eastAsia="zh-CN" w:bidi="ar"/>
        </w:rPr>
        <w:t>跨区域合作趋势增强，可借鉴外部经验。</w:t>
      </w:r>
      <w:r>
        <w:rPr>
          <w:rFonts w:hint="eastAsia" w:ascii="仿宋" w:hAnsi="仿宋" w:eastAsia="仿宋" w:cs="仿宋"/>
          <w:color w:val="000000"/>
          <w:kern w:val="0"/>
          <w:sz w:val="30"/>
          <w:szCs w:val="30"/>
          <w:lang w:val="en-US" w:eastAsia="zh-CN" w:bidi="ar"/>
        </w:rPr>
        <w:t>中山与云浮市委党校签订教师互派协议，省委党校对云浮党校学科建设、科研咨政给予指导，为云浮党校引入外部优质资源提供机会。同时，其他地区党校在异地培训、现场教学、产学研合作方面的经验，可为“学研产用”转型提供借鉴。</w:t>
      </w:r>
      <w:r>
        <w:rPr>
          <w:rFonts w:hint="eastAsia" w:ascii="仿宋" w:hAnsi="仿宋" w:eastAsia="仿宋" w:cs="仿宋"/>
          <w:b/>
          <w:bCs/>
          <w:color w:val="000000"/>
          <w:kern w:val="0"/>
          <w:sz w:val="30"/>
          <w:szCs w:val="30"/>
          <w:lang w:val="en-US" w:eastAsia="zh-CN" w:bidi="ar"/>
        </w:rPr>
        <w:t>四是</w:t>
      </w:r>
      <w:r>
        <w:rPr>
          <w:rFonts w:hint="eastAsia" w:ascii="仿宋" w:hAnsi="仿宋" w:eastAsia="仿宋" w:cs="仿宋"/>
          <w:b w:val="0"/>
          <w:bCs w:val="0"/>
          <w:color w:val="000000"/>
          <w:kern w:val="0"/>
          <w:sz w:val="30"/>
          <w:szCs w:val="30"/>
          <w:lang w:val="en-US" w:eastAsia="zh-CN" w:bidi="ar"/>
        </w:rPr>
        <w:t>数字化技术发展赋能教学科研创新。</w:t>
      </w:r>
      <w:r>
        <w:rPr>
          <w:rFonts w:hint="eastAsia" w:ascii="仿宋" w:hAnsi="仿宋" w:eastAsia="仿宋" w:cs="仿宋"/>
          <w:color w:val="000000"/>
          <w:kern w:val="0"/>
          <w:sz w:val="30"/>
          <w:szCs w:val="30"/>
          <w:lang w:val="en-US" w:eastAsia="zh-CN" w:bidi="ar"/>
        </w:rPr>
        <w:t>随着数字经济发展，线上教学平台、大数据分析、人工智能等技术可应用于“学研产用”各环节。</w:t>
      </w:r>
    </w:p>
    <w:p w14:paraId="2EE16710">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（四）挑战（Threats）</w:t>
      </w:r>
    </w:p>
    <w:p w14:paraId="72326DDF">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b w:val="0"/>
          <w:bCs w:val="0"/>
          <w:color w:val="000000"/>
          <w:kern w:val="0"/>
          <w:sz w:val="30"/>
          <w:szCs w:val="30"/>
          <w:lang w:val="en-US" w:eastAsia="zh-CN" w:bidi="ar"/>
        </w:rPr>
        <w:t>主要挑战：</w:t>
      </w:r>
      <w:r>
        <w:rPr>
          <w:rFonts w:hint="eastAsia" w:ascii="仿宋" w:hAnsi="仿宋" w:eastAsia="仿宋" w:cs="仿宋"/>
          <w:b/>
          <w:bCs/>
          <w:color w:val="000000"/>
          <w:kern w:val="0"/>
          <w:sz w:val="30"/>
          <w:szCs w:val="30"/>
          <w:lang w:val="en-US" w:eastAsia="zh-CN" w:bidi="ar"/>
        </w:rPr>
        <w:t>一是</w:t>
      </w:r>
      <w:r>
        <w:rPr>
          <w:rFonts w:hint="eastAsia" w:ascii="仿宋" w:hAnsi="仿宋" w:eastAsia="仿宋" w:cs="仿宋"/>
          <w:b w:val="0"/>
          <w:bCs w:val="0"/>
          <w:color w:val="000000"/>
          <w:kern w:val="0"/>
          <w:sz w:val="30"/>
          <w:szCs w:val="30"/>
          <w:lang w:val="en-US" w:eastAsia="zh-CN" w:bidi="ar"/>
        </w:rPr>
        <w:t>思想观念转变难度大。</w:t>
      </w:r>
      <w:r>
        <w:rPr>
          <w:rFonts w:hint="eastAsia" w:ascii="仿宋" w:hAnsi="仿宋" w:eastAsia="仿宋" w:cs="仿宋"/>
          <w:color w:val="000000"/>
          <w:kern w:val="0"/>
          <w:sz w:val="30"/>
          <w:szCs w:val="30"/>
          <w:lang w:val="en-US" w:eastAsia="zh-CN" w:bidi="ar"/>
        </w:rPr>
        <w:t>部分党校教职工对“学研产用”模式的认识不足，仍习惯于传统理论教学、封闭性科研，缺乏主动对接产业、服务地方的意识。二是</w:t>
      </w:r>
      <w:r>
        <w:rPr>
          <w:rFonts w:hint="eastAsia" w:ascii="仿宋" w:hAnsi="仿宋" w:eastAsia="仿宋" w:cs="仿宋"/>
          <w:b w:val="0"/>
          <w:bCs w:val="0"/>
          <w:color w:val="000000"/>
          <w:kern w:val="0"/>
          <w:sz w:val="30"/>
          <w:szCs w:val="30"/>
          <w:lang w:val="en-US" w:eastAsia="zh-CN" w:bidi="ar"/>
        </w:rPr>
        <w:t>企业参与动力不足合作不强。</w:t>
      </w:r>
      <w:r>
        <w:rPr>
          <w:rFonts w:hint="eastAsia" w:ascii="仿宋" w:hAnsi="仿宋" w:eastAsia="仿宋" w:cs="仿宋"/>
          <w:color w:val="000000"/>
          <w:kern w:val="0"/>
          <w:sz w:val="30"/>
          <w:szCs w:val="30"/>
          <w:lang w:val="en-US" w:eastAsia="zh-CN" w:bidi="ar"/>
        </w:rPr>
        <w:t>企业以盈利为导向，参与党校“学研产用”项目需投入人力、物力，但短期内难以获得直接收益。</w:t>
      </w:r>
      <w:r>
        <w:rPr>
          <w:rFonts w:hint="eastAsia" w:ascii="仿宋" w:hAnsi="仿宋" w:eastAsia="仿宋" w:cs="仿宋"/>
          <w:b/>
          <w:bCs/>
          <w:color w:val="000000"/>
          <w:kern w:val="0"/>
          <w:sz w:val="30"/>
          <w:szCs w:val="30"/>
          <w:lang w:val="en-US" w:eastAsia="zh-CN" w:bidi="ar"/>
        </w:rPr>
        <w:t>三是</w:t>
      </w:r>
      <w:r>
        <w:rPr>
          <w:rFonts w:hint="eastAsia" w:ascii="仿宋" w:hAnsi="仿宋" w:eastAsia="仿宋" w:cs="仿宋"/>
          <w:b w:val="0"/>
          <w:bCs w:val="0"/>
          <w:color w:val="000000"/>
          <w:kern w:val="0"/>
          <w:sz w:val="30"/>
          <w:szCs w:val="30"/>
          <w:lang w:val="en-US" w:eastAsia="zh-CN" w:bidi="ar"/>
        </w:rPr>
        <w:t>区域竞争加剧，人才与资源争夺激烈。</w:t>
      </w:r>
      <w:r>
        <w:rPr>
          <w:rFonts w:hint="eastAsia" w:ascii="仿宋" w:hAnsi="仿宋" w:eastAsia="仿宋" w:cs="仿宋"/>
          <w:color w:val="000000"/>
          <w:kern w:val="0"/>
          <w:sz w:val="30"/>
          <w:szCs w:val="30"/>
          <w:lang w:val="en-US" w:eastAsia="zh-CN" w:bidi="ar"/>
        </w:rPr>
        <w:t>云浮在人才、资金、产业资源等方面与珠三角地区存在差距。</w:t>
      </w:r>
      <w:r>
        <w:rPr>
          <w:rFonts w:hint="eastAsia" w:ascii="仿宋" w:hAnsi="仿宋" w:eastAsia="仿宋" w:cs="仿宋"/>
          <w:b/>
          <w:bCs/>
          <w:color w:val="000000"/>
          <w:kern w:val="0"/>
          <w:sz w:val="30"/>
          <w:szCs w:val="30"/>
          <w:lang w:val="en-US" w:eastAsia="zh-CN" w:bidi="ar"/>
        </w:rPr>
        <w:t>四是</w:t>
      </w:r>
      <w:r>
        <w:rPr>
          <w:rFonts w:hint="eastAsia" w:ascii="仿宋" w:hAnsi="仿宋" w:eastAsia="仿宋" w:cs="仿宋"/>
          <w:b w:val="0"/>
          <w:bCs w:val="0"/>
          <w:color w:val="000000"/>
          <w:kern w:val="0"/>
          <w:sz w:val="30"/>
          <w:szCs w:val="30"/>
          <w:lang w:val="en-US" w:eastAsia="zh-CN" w:bidi="ar"/>
        </w:rPr>
        <w:t>缺乏激励保障</w:t>
      </w:r>
      <w:r>
        <w:rPr>
          <w:rFonts w:hint="eastAsia" w:ascii="仿宋" w:hAnsi="仿宋" w:eastAsia="仿宋" w:cs="仿宋"/>
          <w:color w:val="000000"/>
          <w:kern w:val="0"/>
          <w:sz w:val="30"/>
          <w:szCs w:val="30"/>
          <w:lang w:val="en-US" w:eastAsia="zh-CN" w:bidi="ar"/>
        </w:rPr>
        <w:t>。当前党校考核仍侧重教学工作量、科研成果数量，对“学研产用”中的成果转化、产业服务成效考核不足，缺乏针对“学研产用”的专项激励政策。</w:t>
      </w:r>
    </w:p>
    <w:p w14:paraId="761AA165">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default"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四、其他地区可借鉴的做法及云浮市县两级党校“学研产用”创新路径</w:t>
      </w:r>
    </w:p>
    <w:p w14:paraId="5343E278">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（一）其他地区可借鉴做法</w:t>
      </w:r>
    </w:p>
    <w:p w14:paraId="3102A8F8">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1.深圳市委党校：政产学研用融合与AI培训的双轨驱动。</w:t>
      </w:r>
      <w:r>
        <w:rPr>
          <w:rFonts w:hint="eastAsia" w:ascii="仿宋" w:hAnsi="仿宋" w:eastAsia="仿宋" w:cs="仿宋"/>
          <w:b w:val="0"/>
          <w:bCs w:val="0"/>
          <w:color w:val="000000"/>
          <w:kern w:val="0"/>
          <w:sz w:val="30"/>
          <w:szCs w:val="30"/>
          <w:lang w:val="en-US" w:eastAsia="zh-CN" w:bidi="ar"/>
        </w:rPr>
        <w:t>深圳市委党校联合深高新发展、坪山区委党校、高校及企业等，聚焦本地产业发展，推动政产学研用深度融合。通过签订合作备忘录，共建协同创新平台，助力政府决策科学化，还以AI大模型技术赋能产业研究，同时，开展全场景AI培训，开设覆盖多领域的AI课程，邀请行业大咖授课，提升干部AI应用能力，为深圳建设人工智能先锋城市提供人才支撑</w:t>
      </w:r>
      <w:r>
        <w:rPr>
          <w:rFonts w:hint="eastAsia" w:ascii="仿宋" w:hAnsi="仿宋" w:eastAsia="仿宋" w:cs="仿宋"/>
          <w:color w:val="000000"/>
          <w:kern w:val="0"/>
          <w:sz w:val="30"/>
          <w:szCs w:val="30"/>
          <w:lang w:val="en-US" w:eastAsia="zh-CN" w:bidi="ar"/>
        </w:rPr>
        <w:t>。</w:t>
      </w:r>
    </w:p>
    <w:p w14:paraId="4075B774">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2.镇江市委党校：教研咨一体化融合精准对接地方发展需求。</w:t>
      </w:r>
      <w:r>
        <w:rPr>
          <w:rFonts w:hint="eastAsia" w:ascii="仿宋" w:hAnsi="仿宋" w:eastAsia="仿宋" w:cs="仿宋"/>
          <w:b w:val="0"/>
          <w:bCs w:val="0"/>
          <w:color w:val="000000"/>
          <w:kern w:val="0"/>
          <w:sz w:val="30"/>
          <w:szCs w:val="30"/>
          <w:lang w:val="en-US" w:eastAsia="zh-CN" w:bidi="ar"/>
        </w:rPr>
        <w:t>在机制创新上，成立专项领导小组统筹协调，打破部门壁垒，通过会商与信息共享机制打通教研咨全链条。创新“双题研究式教学”模式，将干部能力短板与地方改革难题转化为研究课题，据报道，该校2024年立项各类课题340项，其中13项获省级立项，并出台专项考核激励政策，推动研究成果向教学专题与咨政报告转化。</w:t>
      </w:r>
    </w:p>
    <w:p w14:paraId="5D4EEB42">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val="0"/>
          <w:bCs w:val="0"/>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3.福清市委党校：三位一体与学用结合推动地方发展。</w:t>
      </w:r>
      <w:r>
        <w:rPr>
          <w:rFonts w:hint="eastAsia" w:ascii="仿宋" w:hAnsi="仿宋" w:eastAsia="仿宋" w:cs="仿宋"/>
          <w:b w:val="0"/>
          <w:bCs w:val="0"/>
          <w:color w:val="000000"/>
          <w:kern w:val="0"/>
          <w:sz w:val="30"/>
          <w:szCs w:val="30"/>
          <w:lang w:val="en-US" w:eastAsia="zh-CN" w:bidi="ar"/>
        </w:rPr>
        <w:t>福清市委党校围绕“教什么”“怎么教”“谁来教”，以产学研用深度融合提升办学质效，助力地方发展。在内容体系上，构建“三位一体”培训模式。在教学形式上，创新学用结合方式，如开设“领导讲坛”“车间学堂”、咨政课堂等。在师资保障上，建立引培并重机制，多渠道引进高学历教师，组建本土兼职师资队伍，实施“名师工程”，多渠道历练教师，为地方发展输送实用人才。</w:t>
      </w:r>
    </w:p>
    <w:p w14:paraId="08A3C0DE">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（二）云浮市县两级党校“学研产用”创新路径</w:t>
      </w:r>
    </w:p>
    <w:p w14:paraId="73F5E33A">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1.教学方面：构建需求导向的教学体系</w:t>
      </w:r>
    </w:p>
    <w:p w14:paraId="6846CE0C">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以需求作为导向，进一步深化政校企村需求联动。如组织教师深入本地企业，通过座谈会、问卷等形式收集需求，形成“需求清单”，不定时动态调整课程模块。推广“沉浸式+实操化”教学，如开发南药种植技术实操课，联合药企在种植基地开展现场教学。建立“知识测试+实践考核+跟踪评价”三维评估体系，通过考核、跟踪回访，优化课程设计，提升教学对地方发展的实际贡献。</w:t>
      </w:r>
    </w:p>
    <w:p w14:paraId="68343934">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2.研产方面：打造产学研协同科研体系</w:t>
      </w:r>
    </w:p>
    <w:p w14:paraId="780CE3BF">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聚焦云浮发展战略，引导教师围绕南药深加工、金属智造数字化转型等特色产业开展研究。可与温氏集团、微容电子联合成立研究中心，推行“科研项目+企业实践”模式，要求教师每年至少参与1个企业合作项目，提升科研实用性。探索“科研成果市场化”路径，将南药种植技术研究成果转化为培训课程，面向农户、企业收费培训，所得收益反哺科研经费，缓解资金短缺的困境。</w:t>
      </w:r>
    </w:p>
    <w:p w14:paraId="6A344502">
      <w:pPr>
        <w:keepNext w:val="0"/>
        <w:keepLines w:val="0"/>
        <w:pageBreakBefore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3.机制保障：健全政校企村协同机制</w:t>
      </w:r>
    </w:p>
    <w:p w14:paraId="411B07DC">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由云浮市委市政府牵头，联合多部门、企业、乡镇，成立“协同联盟”，精准对接需求、共享资源。建立“市县镇党校资源共享平台”，整合师资库、课程库、现场教学点库，实现资源互通。创新“风险共担、利益共享”的校企合作机制，明确党校与企业联合科研项目的收益分配比例，若成果转化产生经济效益，按约定比例给予党校科研奖励，解决企业担忧合作机制不健全、权责不清晰的问题。设立专项经费，用于实践基地建设、师资培训。实施“双师型”师资培育工程，每年选派教师到珠三角党校、本地企业挂职锻炼；引进企业高管、产业专家担任兼职教师，充实师资队伍，解决师资能力不足的问题。建立专项激励机制，在职称评定、评优评先中优先考虑参与协同项目、成果显著的教师。同时，借助数字化技术，建设“政校企资源对接数字化平台”，整合需求信息、科研成果、师资资源，实现精准匹配，提升资源对接效率，推动“学研产用”深度融入地方发展大局。</w:t>
      </w:r>
    </w:p>
    <w:p w14:paraId="6EB38F65">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kern w:val="0"/>
          <w:sz w:val="30"/>
          <w:szCs w:val="30"/>
          <w:lang w:val="en-US" w:eastAsia="zh-CN" w:bidi="ar"/>
        </w:rPr>
      </w:pPr>
    </w:p>
    <w:p w14:paraId="6A95038D">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kern w:val="0"/>
          <w:sz w:val="30"/>
          <w:szCs w:val="30"/>
          <w:lang w:val="en-US" w:eastAsia="zh-CN" w:bidi="ar"/>
        </w:rPr>
      </w:pPr>
      <w:r>
        <w:rPr>
          <w:rFonts w:hint="eastAsia" w:ascii="仿宋" w:hAnsi="仿宋" w:eastAsia="仿宋" w:cs="仿宋"/>
          <w:b/>
          <w:bCs/>
          <w:color w:val="000000"/>
          <w:kern w:val="0"/>
          <w:sz w:val="30"/>
          <w:szCs w:val="30"/>
          <w:lang w:val="en-US" w:eastAsia="zh-CN" w:bidi="ar"/>
        </w:rPr>
        <w:t>参考文献：</w:t>
      </w:r>
    </w:p>
    <w:p w14:paraId="4B2BA99E">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ascii="仿宋" w:hAnsi="仿宋" w:eastAsia="仿宋" w:cs="仿宋"/>
          <w:color w:val="000000"/>
          <w:kern w:val="0"/>
          <w:sz w:val="24"/>
          <w:szCs w:val="24"/>
          <w:lang w:val="en-US" w:eastAsia="zh-CN" w:bidi="ar"/>
        </w:rPr>
      </w:pPr>
      <w:r>
        <w:rPr>
          <w:rFonts w:hint="default" w:ascii="仿宋" w:hAnsi="仿宋" w:eastAsia="仿宋" w:cs="仿宋"/>
          <w:color w:val="000000"/>
          <w:kern w:val="0"/>
          <w:sz w:val="24"/>
          <w:szCs w:val="24"/>
          <w:lang w:val="en-US" w:eastAsia="zh-CN" w:bidi="ar"/>
        </w:rPr>
        <w:t>习近平.在全国党校工作会议上的讲话[EB/OL].（2016-05-01）[2024-12-12].https//www.ccps.gov.cn/xxsxk/xldxgz/201812/t20181223_126876.shtml.</w:t>
      </w:r>
    </w:p>
    <w:p w14:paraId="496CBB7D">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ascii="仿宋" w:hAnsi="仿宋" w:eastAsia="仿宋" w:cs="仿宋"/>
          <w:color w:val="000000"/>
          <w:kern w:val="0"/>
          <w:sz w:val="24"/>
          <w:szCs w:val="24"/>
          <w:lang w:val="en-US" w:eastAsia="zh-CN" w:bidi="ar"/>
        </w:rPr>
      </w:pPr>
      <w:r>
        <w:rPr>
          <w:rFonts w:hint="default" w:ascii="仿宋" w:hAnsi="仿宋" w:eastAsia="仿宋" w:cs="仿宋"/>
          <w:color w:val="000000"/>
          <w:kern w:val="0"/>
          <w:sz w:val="24"/>
          <w:szCs w:val="24"/>
          <w:lang w:val="en-US" w:eastAsia="zh-CN" w:bidi="ar"/>
        </w:rPr>
        <w:t>中共云浮市委党校教务科</w:t>
      </w:r>
      <w:r>
        <w:rPr>
          <w:rFonts w:hint="eastAsia" w:ascii="仿宋" w:hAnsi="仿宋" w:eastAsia="仿宋" w:cs="仿宋"/>
          <w:color w:val="000000"/>
          <w:kern w:val="0"/>
          <w:sz w:val="24"/>
          <w:szCs w:val="24"/>
          <w:lang w:val="en-US" w:eastAsia="zh-CN" w:bidi="ar"/>
        </w:rPr>
        <w:t>.</w:t>
      </w:r>
      <w:r>
        <w:rPr>
          <w:rFonts w:hint="default" w:ascii="仿宋" w:hAnsi="仿宋" w:eastAsia="仿宋" w:cs="仿宋"/>
          <w:color w:val="000000"/>
          <w:kern w:val="0"/>
          <w:sz w:val="24"/>
          <w:szCs w:val="24"/>
          <w:lang w:val="en-US" w:eastAsia="zh-CN" w:bidi="ar"/>
        </w:rPr>
        <w:t>发挥党校独特价值和优势，助力赋能</w:t>
      </w:r>
      <w:r>
        <w:rPr>
          <w:rFonts w:hint="eastAsia" w:ascii="仿宋" w:hAnsi="仿宋" w:eastAsia="仿宋" w:cs="仿宋"/>
          <w:color w:val="000000"/>
          <w:kern w:val="0"/>
          <w:sz w:val="21"/>
          <w:szCs w:val="21"/>
          <w:lang w:val="en-US" w:eastAsia="zh-CN" w:bidi="ar"/>
        </w:rPr>
        <w:t>“</w:t>
      </w:r>
      <w:r>
        <w:rPr>
          <w:rFonts w:hint="default" w:ascii="仿宋" w:hAnsi="仿宋" w:eastAsia="仿宋" w:cs="仿宋"/>
          <w:color w:val="000000"/>
          <w:kern w:val="0"/>
          <w:sz w:val="24"/>
          <w:szCs w:val="24"/>
          <w:lang w:val="en-US" w:eastAsia="zh-CN" w:bidi="ar"/>
        </w:rPr>
        <w:t>百千万工程”[EB/OL].(2025-05-22)[2025-</w:t>
      </w:r>
      <w:r>
        <w:rPr>
          <w:rFonts w:hint="eastAsia" w:ascii="仿宋" w:hAnsi="仿宋" w:eastAsia="仿宋" w:cs="仿宋"/>
          <w:color w:val="000000"/>
          <w:kern w:val="0"/>
          <w:sz w:val="24"/>
          <w:szCs w:val="24"/>
          <w:lang w:val="en-US" w:eastAsia="zh-CN" w:bidi="ar"/>
        </w:rPr>
        <w:t>10</w:t>
      </w:r>
      <w:r>
        <w:rPr>
          <w:rFonts w:hint="default" w:ascii="仿宋" w:hAnsi="仿宋" w:eastAsia="仿宋" w:cs="仿宋"/>
          <w:color w:val="000000"/>
          <w:kern w:val="0"/>
          <w:sz w:val="24"/>
          <w:szCs w:val="24"/>
          <w:lang w:val="en-US" w:eastAsia="zh-CN" w:bidi="ar"/>
        </w:rPr>
        <w:t>-</w:t>
      </w:r>
      <w:r>
        <w:rPr>
          <w:rFonts w:hint="eastAsia" w:ascii="仿宋" w:hAnsi="仿宋" w:eastAsia="仿宋" w:cs="仿宋"/>
          <w:color w:val="000000"/>
          <w:kern w:val="0"/>
          <w:sz w:val="24"/>
          <w:szCs w:val="24"/>
          <w:lang w:val="en-US" w:eastAsia="zh-CN" w:bidi="ar"/>
        </w:rPr>
        <w:t>28</w:t>
      </w:r>
      <w:r>
        <w:rPr>
          <w:rFonts w:hint="default" w:ascii="仿宋" w:hAnsi="仿宋" w:eastAsia="仿宋" w:cs="仿宋"/>
          <w:color w:val="000000"/>
          <w:kern w:val="0"/>
          <w:sz w:val="24"/>
          <w:szCs w:val="24"/>
          <w:lang w:val="en-US" w:eastAsia="zh-CN" w:bidi="ar"/>
        </w:rPr>
        <w:t>].https://mp.weixin.qq.com/s/AqAY_BBUESqtObJ3RJrxHw.</w:t>
      </w:r>
    </w:p>
    <w:p w14:paraId="49C55E00">
      <w:pPr>
        <w:keepNext w:val="0"/>
        <w:keepLines w:val="0"/>
        <w:pageBreakBefore w:val="0"/>
        <w:kinsoku/>
        <w:wordWrap/>
        <w:overflowPunct/>
        <w:topLinePunct w:val="0"/>
        <w:autoSpaceDE/>
        <w:autoSpaceDN/>
        <w:bidi w:val="0"/>
        <w:adjustRightInd/>
        <w:snapToGrid/>
        <w:spacing w:line="560" w:lineRule="exact"/>
        <w:textAlignment w:val="auto"/>
        <w:rPr>
          <w:rFonts w:hint="default" w:ascii="仿宋" w:hAnsi="仿宋" w:eastAsia="仿宋" w:cs="仿宋"/>
          <w:color w:val="000000"/>
          <w:kern w:val="0"/>
          <w:sz w:val="30"/>
          <w:szCs w:val="30"/>
          <w:lang w:val="en-US" w:eastAsia="zh-CN" w:bidi="ar"/>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C186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33CA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733CA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9876F"/>
    <w:multiLevelType w:val="singleLevel"/>
    <w:tmpl w:val="DB39876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749E3"/>
    <w:rsid w:val="00384B9C"/>
    <w:rsid w:val="008953F8"/>
    <w:rsid w:val="02D01886"/>
    <w:rsid w:val="07434BE5"/>
    <w:rsid w:val="099E3CC2"/>
    <w:rsid w:val="0B3E75FB"/>
    <w:rsid w:val="130E340E"/>
    <w:rsid w:val="1ED65854"/>
    <w:rsid w:val="214967B1"/>
    <w:rsid w:val="219A700D"/>
    <w:rsid w:val="26C30DB4"/>
    <w:rsid w:val="2C2C2F57"/>
    <w:rsid w:val="2E507B3E"/>
    <w:rsid w:val="32777FE8"/>
    <w:rsid w:val="3392223A"/>
    <w:rsid w:val="371B60A2"/>
    <w:rsid w:val="43BB3877"/>
    <w:rsid w:val="4541761C"/>
    <w:rsid w:val="4751754E"/>
    <w:rsid w:val="4F2204BE"/>
    <w:rsid w:val="51E76008"/>
    <w:rsid w:val="52AD009F"/>
    <w:rsid w:val="55347764"/>
    <w:rsid w:val="56327239"/>
    <w:rsid w:val="58B92EDA"/>
    <w:rsid w:val="5AE74989"/>
    <w:rsid w:val="5D417D61"/>
    <w:rsid w:val="60161979"/>
    <w:rsid w:val="68721717"/>
    <w:rsid w:val="6D5B4E6F"/>
    <w:rsid w:val="766A6123"/>
    <w:rsid w:val="781979A8"/>
    <w:rsid w:val="7AAD7B9C"/>
    <w:rsid w:val="7F712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5007</Words>
  <Characters>5296</Characters>
  <Lines>0</Lines>
  <Paragraphs>0</Paragraphs>
  <TotalTime>16</TotalTime>
  <ScaleCrop>false</ScaleCrop>
  <LinksUpToDate>false</LinksUpToDate>
  <CharactersWithSpaces>5298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2025-10-30T08:04:00Z</dcterms:created>
  <dc:creator>Administrator</dc:creator>
  <cp:lastModifiedBy> 画</cp:lastModifiedBy>
  <dcterms:modified xsi:type="dcterms:W3CDTF">2026-07-08T07:26:38Z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eyJoZGlkIjoiMzZhYzZiODU2N2JkMGUyYTkzYzAzNGE1NWRmOGI3NDkiLCJ1c2VySWQiOiIyNTQ2Mjk0MTMifQ==</vt:lpwstr>
  </property>
  <property fmtid="{D5CDD505-2E9C-101B-9397-08002B2CF9AE}" pid="4" name="ICV">
    <vt:lpwstr>9C47FCA47F5F48C7B69BBDCAE9C61A6D_13</vt:lpwstr>
  </property>
</Properties>
</file>