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pacing w:val="12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  <w:t>佛山市2026年度社科规划项目“青年项目、共建项目”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  <w:t>选题参考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eastAsia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生产性服务业如何赋能佛山现代化产业体系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佛山中试平台推进科技成果转化路径研究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佛山新兴产业“链主”企业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0"/>
      </w:r>
      <w:r>
        <w:rPr>
          <w:rFonts w:hint="eastAsia"/>
          <w:color w:val="auto"/>
          <w:sz w:val="24"/>
          <w:szCs w:val="24"/>
        </w:rPr>
        <w:t>培育策略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人工智能大模型在佛山重点产业的应用与实施路径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佛山“专精特新”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1"/>
      </w:r>
      <w:r>
        <w:rPr>
          <w:rFonts w:hint="eastAsia"/>
          <w:color w:val="auto"/>
          <w:sz w:val="24"/>
          <w:szCs w:val="24"/>
        </w:rPr>
        <w:t>企业北交所上市路径分析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佛山“专精特新”企业梯队培育模式与成长生态优化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“人工智能+制造业”融合路径与示范高地建设策略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低碳转型背景下佛山重点产业绿色标准体系构建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佛山传统产业“智改数转”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2"/>
      </w:r>
      <w:r>
        <w:rPr>
          <w:rFonts w:hint="eastAsia"/>
          <w:color w:val="auto"/>
          <w:sz w:val="24"/>
          <w:szCs w:val="24"/>
        </w:rPr>
        <w:t>的现状与展望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佛山市战略性新兴产业产业空间弹性储备与供给研究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“佛山标准”引领新型工业化的市场推广机制与政策优化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佛山工业互联网平台赋能产业集群升级的机制与路径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佛山大规模设备更新中的行业供需匹配与政策风险防范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佛山市半导体及集成电路产业差异化发展路径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佛山市半导体及集成电路产业人才引进与培育策略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佛山能源电子产业技术协同创新与标准支撑体系建设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能源电力装备智造转型的“产学研用”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3"/>
      </w:r>
      <w:r>
        <w:rPr>
          <w:rFonts w:hint="eastAsia"/>
          <w:color w:val="auto"/>
          <w:sz w:val="24"/>
          <w:szCs w:val="24"/>
        </w:rPr>
        <w:t>融合机制与创新生态构建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绿色能源产业驱动佛山传统制造业转型的路径与策略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市属国企牵引的产业公共服务平台载体建设与效能提升路径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佛山提升民间资本投资新兴产业</w:t>
      </w:r>
      <w:r>
        <w:rPr>
          <w:rFonts w:hint="eastAsia"/>
          <w:color w:val="auto"/>
          <w:sz w:val="24"/>
          <w:szCs w:val="24"/>
          <w:lang w:eastAsia="zh-CN"/>
        </w:rPr>
        <w:t>活力的</w:t>
      </w:r>
      <w:r>
        <w:rPr>
          <w:rFonts w:hint="eastAsia"/>
          <w:color w:val="auto"/>
          <w:sz w:val="24"/>
          <w:szCs w:val="24"/>
        </w:rPr>
        <w:t>路径与机制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如何利用人工智能促进高端仪器设备共享共用与效能提升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新型电力系统下佛山储能与输配电装备技术协同与生态构建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高可靠电网目标下佛山电力装备智能化升级与数字孪生赋能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粤港澳大湾区新型电力系统建设与佛山装备跨区域协同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如何整合提升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现有工业园区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分布与竞争力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佛山参与粤港澳大湾区建设的差异化定位与突破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广佛全域同城化进程中产业协同布局优化路径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佛山新机场赋能“枢纽经济”对策研究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佛山制造业科技成果转化路径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佛山“AI+制造”场景创新的成本效益测度与规模化推广路径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佛山新型研发机构治理模式与绩效评估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佛山“投贷担险”联动金融服务模式创新研究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佛山城市综合数据平台构建与资产化应用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佛山创新产品政府首购与保险补偿机制优化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如何促进佛山消费新业态培育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消费品以旧换新政策的效能评估与优化路径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佛山银发经济的实践与创新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佛山国有企业改革与战略性新兴产业发展联动路径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数据要素在佛山产业园区的确权、流通与价值实现路径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佛山制造业“隐形冠军”企业代际传承困境与支持体系构建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佛山现代农业“政产学研金”融合机制构建研究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“绿美佛山”生态农产品价值实现的市场化路径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环两江先行区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4"/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乡村振兴片区组团培育路径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“环两江先行区”规划协同机制与差异化发展路径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佛山城乡协调发展中“提级管理”机制研究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佛山全域土地综合整治的实践困境与制度创新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“城乡区域协调发展改革创新实验区”的佛山实践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佛山典型镇村辐射带动效应研究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佛山村级集体经济的可持续发展路径研究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如何筹措佛山老旧小区适老化改造资金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佛山夜间经济“潮汐式”人流特征与弹性公共服务供给优化策略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如何以“清单管理”模式推进佛山公共服务精准供给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“六医融合”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5"/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机制下佛山优质医疗资源下沉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的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成效与挑战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佛山房地产物业管理矛盾与对策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佛山基层社会治理中群团组织的功能创新与实践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新型城乡社区建设试点实践研究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社区嵌入式养老服务医技支撑能力建设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“新佛山人”社会融入的社区支持网络与服务模式创新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佛山市“功夫农品”区域公用品牌发展路径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“文旅+”模式如何促进佛山古村落活态保护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混合股权在乡村文旅开发中的创新与实践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“佛山美食”品牌的标准化管理、授权机制与商户激励研究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佛山城市IP国际传播的叙事策略与效能评估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佛山体育文化的“赛事+社区+研学”多元活化体系构建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如何利用佛山古迹与角色扮演开发运营“微旅游”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产品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佛山全域工业旅游的文旅消费转化路径研究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“工业美学”视域下佛山城市形象新媒体传播路径研究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佛山职业院校专业设置与产业人才需求的动态匹配研究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佛山如何构建终身学习教育体系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人口结构变化对佛山城市公共服务体系的长效影响与政策响应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中小学“春秋假”制度的实施评估与家校社协同机制优化</w:t>
      </w:r>
    </w:p>
    <w:sectPr>
      <w:footerReference r:id="rId4" w:type="default"/>
      <w:endnotePr>
        <w:numFmt w:val="decimal"/>
      </w:endnotePr>
      <w:pgSz w:w="11906" w:h="16838"/>
      <w:pgMar w:top="1383" w:right="866" w:bottom="1383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id="0">
    <w:p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“链主”企业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指产业链主导企业,一般是产业链中的龙头企业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1">
    <w:p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专精特新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指企业具有专业化、精细化、特色化、新颖化的发展特征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2">
    <w:p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智改数转：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智能化改造数字化转型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3">
    <w:p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产学研用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是以企业为主体、市场为导向，整合生产、学习、科学研究与实践应用的系统合作模式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4">
    <w:p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环两江先行区：佛山市规划建设的城乡协调发展示范区，位于西江与北江交汇区域，涵盖12个镇街，旨在通过市级统筹和资源倾斜，打造绿色经济新高地、文旅目的地。</w:t>
      </w:r>
    </w:p>
  </w:endnote>
  <w:endnote w:id="5">
    <w:p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六医融合：以全生命周期为轴线，在医防、医育、医校、医企、医产、医养六大领域打破资源壁垒，将健康服务嵌入校园、企业、社区、养老院等关键场景。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3E44F2"/>
    <w:multiLevelType w:val="singleLevel"/>
    <w:tmpl w:val="FB3E44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239A"/>
    <w:rsid w:val="0BD17731"/>
    <w:rsid w:val="16F4C7C8"/>
    <w:rsid w:val="1FEF4567"/>
    <w:rsid w:val="27FF8E57"/>
    <w:rsid w:val="2AF9B018"/>
    <w:rsid w:val="2BEF721D"/>
    <w:rsid w:val="2EFCDC71"/>
    <w:rsid w:val="2F796A76"/>
    <w:rsid w:val="33FD5A38"/>
    <w:rsid w:val="3773C1B1"/>
    <w:rsid w:val="3AFE73DC"/>
    <w:rsid w:val="4DD1740F"/>
    <w:rsid w:val="557D98B2"/>
    <w:rsid w:val="574BBAAE"/>
    <w:rsid w:val="57F51983"/>
    <w:rsid w:val="5C9F1431"/>
    <w:rsid w:val="5DFF239A"/>
    <w:rsid w:val="5FBF6769"/>
    <w:rsid w:val="5FEFC902"/>
    <w:rsid w:val="5FFB0433"/>
    <w:rsid w:val="69D8E361"/>
    <w:rsid w:val="6AFB2AD0"/>
    <w:rsid w:val="6BFF5D5F"/>
    <w:rsid w:val="6F771E22"/>
    <w:rsid w:val="6FDE20EA"/>
    <w:rsid w:val="6FFDFAE6"/>
    <w:rsid w:val="71F405F6"/>
    <w:rsid w:val="776B4F4E"/>
    <w:rsid w:val="7C6146C7"/>
    <w:rsid w:val="7C6E76C9"/>
    <w:rsid w:val="7EFF77A5"/>
    <w:rsid w:val="7F928FA7"/>
    <w:rsid w:val="7FB3750F"/>
    <w:rsid w:val="7FF21CF4"/>
    <w:rsid w:val="8F5D453B"/>
    <w:rsid w:val="952FC020"/>
    <w:rsid w:val="B7FAB1BF"/>
    <w:rsid w:val="BBEF606D"/>
    <w:rsid w:val="BD6421C9"/>
    <w:rsid w:val="BDF79C8D"/>
    <w:rsid w:val="BEDD88EF"/>
    <w:rsid w:val="C1BF93E6"/>
    <w:rsid w:val="CAF3049A"/>
    <w:rsid w:val="D6DEEBFC"/>
    <w:rsid w:val="D9B8D952"/>
    <w:rsid w:val="DDFC08CB"/>
    <w:rsid w:val="DF6FF5C0"/>
    <w:rsid w:val="E7FB464F"/>
    <w:rsid w:val="E7FEE539"/>
    <w:rsid w:val="EABBEF88"/>
    <w:rsid w:val="EAF6DA40"/>
    <w:rsid w:val="EBEF1A35"/>
    <w:rsid w:val="EBF765C2"/>
    <w:rsid w:val="ECE54361"/>
    <w:rsid w:val="ECEE617A"/>
    <w:rsid w:val="EF7DB20B"/>
    <w:rsid w:val="F05FA063"/>
    <w:rsid w:val="F34FABD5"/>
    <w:rsid w:val="F4D377C7"/>
    <w:rsid w:val="F6EFAD12"/>
    <w:rsid w:val="F6EFF8E9"/>
    <w:rsid w:val="F7645970"/>
    <w:rsid w:val="F777FF41"/>
    <w:rsid w:val="F7BE9B1C"/>
    <w:rsid w:val="F7CFD763"/>
    <w:rsid w:val="FA75AAAB"/>
    <w:rsid w:val="FBFDD832"/>
    <w:rsid w:val="FCEF93D2"/>
    <w:rsid w:val="FDF512C4"/>
    <w:rsid w:val="FDFE43A9"/>
    <w:rsid w:val="FDFF81F8"/>
    <w:rsid w:val="FFFF6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uiPriority w:val="0"/>
    <w:rPr>
      <w:vertAlign w:val="superscript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  <w:style w:type="character" w:styleId="12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2024-03-04T23:48:00Z</dcterms:created>
  <dc:creator>thtf</dc:creator>
  <cp:lastModifiedBy>微信用户</cp:lastModifiedBy>
  <cp:lastPrinted>2024-03-06T17:36:11Z</cp:lastPrinted>
  <dcterms:modified xsi:type="dcterms:W3CDTF">2026-03-05T04:38:57Z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BBB969C4ACD567396042DC653555B4F8</vt:lpwstr>
  </property>
</Properties>
</file>